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7946A" w14:textId="6D5223E4" w:rsidR="005355A8" w:rsidRPr="00CC7B69" w:rsidRDefault="005355A8" w:rsidP="00CC7B69">
      <w:pPr>
        <w:jc w:val="center"/>
        <w:rPr>
          <w:b/>
          <w:sz w:val="32"/>
          <w:szCs w:val="32"/>
        </w:rPr>
      </w:pPr>
      <w:bookmarkStart w:id="0" w:name="_Toc339030291"/>
      <w:bookmarkStart w:id="1" w:name="_Toc372632895"/>
      <w:bookmarkStart w:id="2" w:name="_Toc266289393"/>
      <w:r w:rsidRPr="00CC7B69">
        <w:rPr>
          <w:b/>
          <w:sz w:val="32"/>
          <w:szCs w:val="32"/>
        </w:rPr>
        <w:t>ТЕХНИЧЕСКА СПЕЦИФИКАЦИ</w:t>
      </w:r>
      <w:bookmarkEnd w:id="0"/>
      <w:r w:rsidRPr="00CC7B69">
        <w:rPr>
          <w:b/>
          <w:sz w:val="32"/>
          <w:szCs w:val="32"/>
        </w:rPr>
        <w:t>Я</w:t>
      </w:r>
      <w:bookmarkEnd w:id="1"/>
      <w:bookmarkEnd w:id="2"/>
    </w:p>
    <w:p w14:paraId="73F52D16" w14:textId="77777777" w:rsidR="00CC7B69" w:rsidRDefault="00CC7B69" w:rsidP="00CC7B69">
      <w:pPr>
        <w:jc w:val="center"/>
        <w:rPr>
          <w:b/>
        </w:rPr>
      </w:pPr>
      <w:r>
        <w:rPr>
          <w:b/>
        </w:rPr>
        <w:t>за обществена поръчка с предмет:</w:t>
      </w:r>
    </w:p>
    <w:p w14:paraId="7BE1F83A" w14:textId="5BEBE8EC" w:rsidR="00AF7157" w:rsidRPr="00AF7157" w:rsidRDefault="00FA4BD7" w:rsidP="00CC7B69">
      <w:pPr>
        <w:jc w:val="center"/>
      </w:pPr>
      <w:r>
        <w:rPr>
          <w:b/>
        </w:rPr>
        <w:t>„</w:t>
      </w:r>
      <w:r w:rsidRPr="00BF4EBA">
        <w:rPr>
          <w:b/>
        </w:rPr>
        <w:t>Доставка и инсталация на хардуерна платформа за виртуализация и софтуер за нея</w:t>
      </w:r>
      <w:r w:rsidR="00CC7B69">
        <w:rPr>
          <w:b/>
        </w:rPr>
        <w:t>”</w:t>
      </w:r>
    </w:p>
    <w:p w14:paraId="0B2FF4AE" w14:textId="54CB7E34" w:rsidR="005355A8" w:rsidRPr="00BF4EBA" w:rsidRDefault="00EB2803" w:rsidP="00F37378">
      <w:pPr>
        <w:pStyle w:val="Heading1"/>
        <w:jc w:val="center"/>
      </w:pPr>
      <w:bookmarkStart w:id="3" w:name="_Toc266289394"/>
      <w:bookmarkStart w:id="4" w:name="_Toc292784534"/>
      <w:r w:rsidRPr="00BF4EBA">
        <w:t>ОБЩА ЧАСТ</w:t>
      </w:r>
      <w:bookmarkEnd w:id="3"/>
    </w:p>
    <w:p w14:paraId="3A5654FB" w14:textId="77777777" w:rsidR="00984A11" w:rsidRPr="00BF4EBA" w:rsidRDefault="00984A11" w:rsidP="004E54B6"/>
    <w:p w14:paraId="49CA7E78" w14:textId="06221E3E" w:rsidR="005355A8" w:rsidRPr="00BF4EBA" w:rsidRDefault="00F37378" w:rsidP="00F37378">
      <w:pPr>
        <w:pStyle w:val="Heading2"/>
      </w:pPr>
      <w:bookmarkStart w:id="5" w:name="_Toc266289395"/>
      <w:r>
        <w:t xml:space="preserve">1. </w:t>
      </w:r>
      <w:r w:rsidR="00DB7A14" w:rsidRPr="00BF4EBA">
        <w:t>Предмет на поръчката:</w:t>
      </w:r>
      <w:bookmarkEnd w:id="5"/>
    </w:p>
    <w:p w14:paraId="19319DE9" w14:textId="188AF1FC" w:rsidR="001C55AD" w:rsidRPr="00BF4EBA" w:rsidRDefault="001C55AD" w:rsidP="001C55AD">
      <w:pPr>
        <w:jc w:val="both"/>
        <w:rPr>
          <w:b/>
          <w:color w:val="000000"/>
        </w:rPr>
      </w:pPr>
      <w:r w:rsidRPr="00BF4EBA">
        <w:rPr>
          <w:color w:val="000000"/>
        </w:rPr>
        <w:t xml:space="preserve">Предмет на поръчката е </w:t>
      </w:r>
      <w:r w:rsidR="00FA4BD7">
        <w:rPr>
          <w:b/>
        </w:rPr>
        <w:t>„</w:t>
      </w:r>
      <w:r w:rsidR="00FA4BD7" w:rsidRPr="00BF4EBA">
        <w:rPr>
          <w:b/>
        </w:rPr>
        <w:t>Доставка и инсталация на хардуерна платформа за виртуализация и софтуер за нея</w:t>
      </w:r>
      <w:r w:rsidR="00FA4BD7">
        <w:rPr>
          <w:b/>
        </w:rPr>
        <w:t>”</w:t>
      </w:r>
      <w:r w:rsidRPr="00BF4EBA">
        <w:rPr>
          <w:b/>
          <w:color w:val="000000"/>
        </w:rPr>
        <w:t>.</w:t>
      </w:r>
    </w:p>
    <w:p w14:paraId="4090085A" w14:textId="5440FDA8" w:rsidR="001C55AD" w:rsidRPr="00BF4EBA" w:rsidRDefault="001C55AD" w:rsidP="00AF7157">
      <w:pPr>
        <w:pStyle w:val="ListParagraph"/>
        <w:numPr>
          <w:ilvl w:val="0"/>
          <w:numId w:val="3"/>
        </w:numPr>
        <w:tabs>
          <w:tab w:val="left" w:pos="-720"/>
        </w:tabs>
        <w:suppressAutoHyphens/>
        <w:spacing w:before="120"/>
        <w:ind w:left="850" w:hanging="425"/>
        <w:contextualSpacing w:val="0"/>
      </w:pPr>
      <w:proofErr w:type="spellStart"/>
      <w:r w:rsidRPr="00BF4EBA">
        <w:t>Подддейност</w:t>
      </w:r>
      <w:proofErr w:type="spellEnd"/>
      <w:r w:rsidRPr="00BF4EBA">
        <w:t xml:space="preserve"> 1. Доставка и инсталиране на хардуерна платформа за виртуализация, </w:t>
      </w:r>
      <w:r w:rsidR="00AA2B1D" w:rsidRPr="00BF4EBA">
        <w:t>ко</w:t>
      </w:r>
      <w:r w:rsidR="00AA2B1D">
        <w:t>я</w:t>
      </w:r>
      <w:r w:rsidR="00AA2B1D" w:rsidRPr="00BF4EBA">
        <w:t xml:space="preserve">то </w:t>
      </w:r>
      <w:r w:rsidRPr="00BF4EBA">
        <w:t xml:space="preserve">да  поддържа достъпа до </w:t>
      </w:r>
      <w:r w:rsidR="00AA2B1D" w:rsidRPr="00AA2B1D">
        <w:rPr>
          <w:rFonts w:eastAsia="Calibri"/>
        </w:rPr>
        <w:t>електронн</w:t>
      </w:r>
      <w:r w:rsidR="00AA2B1D">
        <w:rPr>
          <w:rFonts w:eastAsia="Calibri"/>
        </w:rPr>
        <w:t>ат</w:t>
      </w:r>
      <w:r w:rsidR="00AA2B1D" w:rsidRPr="00AA2B1D">
        <w:rPr>
          <w:rFonts w:eastAsia="Calibri"/>
        </w:rPr>
        <w:t>а платформа за управление на учебния процес и провеждане на иновативни електронни, уеб-базирани и дистанционни обучения</w:t>
      </w:r>
      <w:r w:rsidRPr="00BF4EBA">
        <w:t>.</w:t>
      </w:r>
    </w:p>
    <w:p w14:paraId="27C3C16B" w14:textId="6EB93C6B" w:rsidR="001C55AD" w:rsidRPr="00BF4EBA" w:rsidRDefault="001C55AD" w:rsidP="00AF7157">
      <w:pPr>
        <w:pStyle w:val="ListParagraph"/>
        <w:numPr>
          <w:ilvl w:val="0"/>
          <w:numId w:val="3"/>
        </w:numPr>
        <w:tabs>
          <w:tab w:val="left" w:pos="-720"/>
        </w:tabs>
        <w:suppressAutoHyphens/>
        <w:spacing w:before="120"/>
        <w:ind w:left="850" w:hanging="425"/>
        <w:contextualSpacing w:val="0"/>
      </w:pPr>
      <w:proofErr w:type="spellStart"/>
      <w:r w:rsidRPr="00BF4EBA">
        <w:t>Поддейност</w:t>
      </w:r>
      <w:proofErr w:type="spellEnd"/>
      <w:r w:rsidRPr="00BF4EBA">
        <w:t xml:space="preserve"> 2. Доставка и инсталиране на софтуер за виртуализация и управление на хардуерната платформа.</w:t>
      </w:r>
    </w:p>
    <w:p w14:paraId="2B2FDD06" w14:textId="77777777" w:rsidR="00DB7A14" w:rsidRPr="00BF4EBA" w:rsidRDefault="00DB7A14" w:rsidP="004E54B6"/>
    <w:p w14:paraId="63B78FE4" w14:textId="09DFDF96" w:rsidR="00EB2803" w:rsidRPr="00BF4EBA" w:rsidRDefault="00EB2803" w:rsidP="00F37378">
      <w:pPr>
        <w:pStyle w:val="Heading2"/>
      </w:pPr>
      <w:bookmarkStart w:id="6" w:name="_Toc266289396"/>
      <w:r w:rsidRPr="00BF4EBA">
        <w:t xml:space="preserve">2. </w:t>
      </w:r>
      <w:r w:rsidRPr="00BF4EBA">
        <w:tab/>
        <w:t>Очаквани резултати от изпълнение на поръчката</w:t>
      </w:r>
      <w:bookmarkEnd w:id="6"/>
    </w:p>
    <w:p w14:paraId="6FCB4233" w14:textId="77777777" w:rsidR="00EB2803" w:rsidRPr="00BF4EBA" w:rsidRDefault="00EB2803" w:rsidP="004E54B6"/>
    <w:p w14:paraId="056A47B3" w14:textId="77777777" w:rsidR="00EB2803" w:rsidRPr="00BF4EBA" w:rsidRDefault="00EB2803" w:rsidP="00EB2803">
      <w:pPr>
        <w:widowControl w:val="0"/>
        <w:shd w:val="clear" w:color="auto" w:fill="FFFFFF"/>
        <w:autoSpaceDE w:val="0"/>
        <w:autoSpaceDN w:val="0"/>
        <w:adjustRightInd w:val="0"/>
        <w:spacing w:before="120"/>
        <w:rPr>
          <w:bCs/>
          <w:color w:val="000000"/>
        </w:rPr>
      </w:pPr>
      <w:r w:rsidRPr="00BF4EBA">
        <w:rPr>
          <w:bCs/>
          <w:color w:val="000000"/>
        </w:rPr>
        <w:t>Очакваните резултати от изпълнението на предмета на обществената поръчка са:</w:t>
      </w:r>
    </w:p>
    <w:p w14:paraId="4A2BA5A5" w14:textId="77777777" w:rsidR="00EB2803" w:rsidRPr="00BF4EBA" w:rsidRDefault="00EB2803" w:rsidP="00AF7157">
      <w:pPr>
        <w:pStyle w:val="ListParagraph"/>
        <w:numPr>
          <w:ilvl w:val="0"/>
          <w:numId w:val="5"/>
        </w:numPr>
        <w:spacing w:before="120"/>
        <w:ind w:left="851" w:hanging="425"/>
        <w:contextualSpacing w:val="0"/>
        <w:jc w:val="both"/>
        <w:rPr>
          <w:color w:val="000000"/>
        </w:rPr>
      </w:pPr>
      <w:r w:rsidRPr="00BF4EBA">
        <w:rPr>
          <w:color w:val="000000"/>
        </w:rPr>
        <w:t>Закупена и инсталирана хардуерна платформа за виртуализация;</w:t>
      </w:r>
    </w:p>
    <w:p w14:paraId="077E7559" w14:textId="77777777" w:rsidR="00EB2803" w:rsidRPr="00BF4EBA" w:rsidRDefault="00EB2803" w:rsidP="00AF7157">
      <w:pPr>
        <w:pStyle w:val="ListParagraph"/>
        <w:numPr>
          <w:ilvl w:val="0"/>
          <w:numId w:val="5"/>
        </w:numPr>
        <w:spacing w:before="120"/>
        <w:ind w:left="851" w:hanging="425"/>
        <w:contextualSpacing w:val="0"/>
        <w:jc w:val="both"/>
        <w:rPr>
          <w:color w:val="000000"/>
        </w:rPr>
      </w:pPr>
      <w:r w:rsidRPr="00BF4EBA">
        <w:rPr>
          <w:color w:val="000000"/>
        </w:rPr>
        <w:t>Доставен и инсталиран софтуер за виртуализация и управление на хардуерната платформа.</w:t>
      </w:r>
    </w:p>
    <w:p w14:paraId="0D9DDFF8" w14:textId="136BFC41" w:rsidR="00EB2803" w:rsidRPr="00BF4EBA" w:rsidRDefault="00EB2803" w:rsidP="00F37378">
      <w:pPr>
        <w:pStyle w:val="Heading2"/>
      </w:pPr>
      <w:bookmarkStart w:id="7" w:name="_Toc266289397"/>
      <w:r w:rsidRPr="00BF4EBA">
        <w:t xml:space="preserve">3. </w:t>
      </w:r>
      <w:r w:rsidRPr="00BF4EBA">
        <w:tab/>
        <w:t>Прогнозна стойност</w:t>
      </w:r>
      <w:bookmarkEnd w:id="7"/>
    </w:p>
    <w:p w14:paraId="7CD189BC" w14:textId="77777777" w:rsidR="00EB2803" w:rsidRPr="00BF4EBA" w:rsidRDefault="00EB2803" w:rsidP="004E54B6"/>
    <w:p w14:paraId="4541B930" w14:textId="283F8D7A" w:rsidR="00EB2803" w:rsidRPr="00BF4EBA" w:rsidRDefault="00EB2803" w:rsidP="00EB2803">
      <w:pPr>
        <w:ind w:firstLine="720"/>
        <w:jc w:val="both"/>
        <w:rPr>
          <w:rStyle w:val="Strong"/>
        </w:rPr>
      </w:pPr>
      <w:r w:rsidRPr="00BE253D">
        <w:rPr>
          <w:rStyle w:val="Strong"/>
        </w:rPr>
        <w:t>Общата прогнозна стойност на поръчката е 159</w:t>
      </w:r>
      <w:r w:rsidR="00AA2B1D">
        <w:rPr>
          <w:rStyle w:val="Strong"/>
        </w:rPr>
        <w:t xml:space="preserve"> </w:t>
      </w:r>
      <w:r w:rsidRPr="00BE253D">
        <w:rPr>
          <w:rStyle w:val="Strong"/>
        </w:rPr>
        <w:t xml:space="preserve">166,66 </w:t>
      </w:r>
      <w:r w:rsidR="00FA4BD7">
        <w:rPr>
          <w:rStyle w:val="Strong"/>
        </w:rPr>
        <w:t xml:space="preserve">(сто петдесет и девет хиляди и сто шестдесет и шест лв. и 0,66 ) </w:t>
      </w:r>
      <w:r w:rsidRPr="00BE253D">
        <w:rPr>
          <w:rStyle w:val="Strong"/>
        </w:rPr>
        <w:t>лв. без ДДС.</w:t>
      </w:r>
    </w:p>
    <w:p w14:paraId="4467A64D" w14:textId="77777777" w:rsidR="00EB2803" w:rsidRPr="00BF4EBA" w:rsidRDefault="00EB2803" w:rsidP="004E54B6"/>
    <w:p w14:paraId="663EF41D" w14:textId="2EB86C0F" w:rsidR="00736E6D" w:rsidRPr="00BF4EBA" w:rsidRDefault="00EB2803" w:rsidP="00F37378">
      <w:pPr>
        <w:pStyle w:val="Heading2"/>
      </w:pPr>
      <w:bookmarkStart w:id="8" w:name="_Toc266289398"/>
      <w:r w:rsidRPr="00BF4EBA">
        <w:t>4</w:t>
      </w:r>
      <w:r w:rsidR="00736E6D" w:rsidRPr="00BF4EBA">
        <w:t xml:space="preserve">. </w:t>
      </w:r>
      <w:r w:rsidR="004D5A25" w:rsidRPr="00BF4EBA">
        <w:tab/>
      </w:r>
      <w:r w:rsidR="00736E6D" w:rsidRPr="00BF4EBA">
        <w:t>Информация за източника на финансиране</w:t>
      </w:r>
      <w:bookmarkEnd w:id="8"/>
    </w:p>
    <w:p w14:paraId="1827DA93" w14:textId="77777777" w:rsidR="00736E6D" w:rsidRPr="00BF4EBA" w:rsidRDefault="00736E6D" w:rsidP="004E54B6"/>
    <w:bookmarkEnd w:id="4"/>
    <w:p w14:paraId="4BF8EB4E" w14:textId="77777777" w:rsidR="005355A8" w:rsidRPr="00BF4EBA" w:rsidRDefault="005355A8" w:rsidP="004D5A25">
      <w:pPr>
        <w:ind w:firstLine="720"/>
        <w:jc w:val="both"/>
        <w:rPr>
          <w:rStyle w:val="Strong"/>
          <w:b w:val="0"/>
        </w:rPr>
      </w:pPr>
      <w:r w:rsidRPr="00BF4EBA">
        <w:rPr>
          <w:rStyle w:val="Strong"/>
          <w:b w:val="0"/>
        </w:rPr>
        <w:t>Настоящата обществена поръчка се провежда във връзка с изпълнението на проект: „Изграждане на капацитет на ИПА за изследвания, обучение и приложение на иновативни европейски практики в доброто управление”, договор за безвъзмездна финансова помощ (БФП) №</w:t>
      </w:r>
      <w:r w:rsidRPr="00BF4EBA">
        <w:rPr>
          <w:rStyle w:val="Strong"/>
        </w:rPr>
        <w:t xml:space="preserve"> </w:t>
      </w:r>
      <w:r w:rsidRPr="00BF4EBA">
        <w:rPr>
          <w:bCs/>
        </w:rPr>
        <w:t>C13-22-1/16.04.2014г.,</w:t>
      </w:r>
      <w:r w:rsidRPr="00BF4EBA">
        <w:rPr>
          <w:rStyle w:val="Strong"/>
          <w:b w:val="0"/>
        </w:rPr>
        <w:t xml:space="preserve"> схема за безвъзмездна финансова помощ № BG051PO002/13/2.2-15, </w:t>
      </w:r>
      <w:proofErr w:type="spellStart"/>
      <w:r w:rsidRPr="00BF4EBA">
        <w:rPr>
          <w:rStyle w:val="Strong"/>
          <w:b w:val="0"/>
        </w:rPr>
        <w:t>Подприоритет</w:t>
      </w:r>
      <w:proofErr w:type="spellEnd"/>
      <w:r w:rsidRPr="00BF4EBA">
        <w:rPr>
          <w:rStyle w:val="Strong"/>
          <w:b w:val="0"/>
        </w:rPr>
        <w:t xml:space="preserve"> 2.</w:t>
      </w:r>
      <w:proofErr w:type="spellStart"/>
      <w:r w:rsidRPr="00BF4EBA">
        <w:rPr>
          <w:rStyle w:val="Strong"/>
          <w:b w:val="0"/>
        </w:rPr>
        <w:t>2</w:t>
      </w:r>
      <w:proofErr w:type="spellEnd"/>
      <w:r w:rsidRPr="00BF4EBA">
        <w:rPr>
          <w:rStyle w:val="Strong"/>
          <w:b w:val="0"/>
        </w:rPr>
        <w:t>. „Компетентна и ефективна държавна администрация””, Приоритетна ос  ІІ „Управление на човешките ресурси” по Оперативна програма „Административен капацитет” 2007 – 2013 г.</w:t>
      </w:r>
    </w:p>
    <w:p w14:paraId="2767E821" w14:textId="4CF2A2D7" w:rsidR="005355A8" w:rsidRPr="00BF4EBA" w:rsidRDefault="005B703F" w:rsidP="005B703F">
      <w:pPr>
        <w:pStyle w:val="Default"/>
        <w:tabs>
          <w:tab w:val="left" w:pos="6300"/>
        </w:tabs>
        <w:spacing w:before="120" w:after="120"/>
        <w:jc w:val="both"/>
        <w:rPr>
          <w:rStyle w:val="Strong"/>
          <w:lang w:val="ru-RU"/>
        </w:rPr>
      </w:pPr>
      <w:bookmarkStart w:id="9" w:name="_GoBack"/>
      <w:r>
        <w:rPr>
          <w:rStyle w:val="Strong"/>
          <w:lang w:val="ru-RU"/>
        </w:rPr>
        <w:tab/>
      </w:r>
    </w:p>
    <w:bookmarkEnd w:id="9"/>
    <w:p w14:paraId="5840F6D4" w14:textId="77777777" w:rsidR="005355A8" w:rsidRPr="00BF4EBA" w:rsidRDefault="005355A8" w:rsidP="004E54B6">
      <w:pPr>
        <w:spacing w:before="120" w:after="120"/>
        <w:jc w:val="both"/>
      </w:pPr>
      <w:r w:rsidRPr="00BF4EBA">
        <w:rPr>
          <w:b/>
          <w:i/>
        </w:rPr>
        <w:t>Целите</w:t>
      </w:r>
      <w:r w:rsidRPr="00BF4EBA">
        <w:t xml:space="preserve"> на проекта са:</w:t>
      </w:r>
    </w:p>
    <w:p w14:paraId="4F4A0FBC" w14:textId="77777777" w:rsidR="005355A8" w:rsidRPr="00BF4EBA" w:rsidRDefault="005355A8" w:rsidP="00AF7157">
      <w:pPr>
        <w:numPr>
          <w:ilvl w:val="0"/>
          <w:numId w:val="2"/>
        </w:numPr>
        <w:spacing w:before="120" w:after="120"/>
        <w:ind w:left="426" w:hanging="426"/>
        <w:jc w:val="both"/>
      </w:pPr>
      <w:r w:rsidRPr="00BF4EBA">
        <w:lastRenderedPageBreak/>
        <w:t>Повишаване капацитета на ИПА да провежда изследвания на добри практики, качествени и иновативни обучения за утвърждаване на доброто управление и изпълнение в административната дейност.</w:t>
      </w:r>
    </w:p>
    <w:p w14:paraId="674A8EA3" w14:textId="77777777" w:rsidR="005355A8" w:rsidRPr="00BF4EBA" w:rsidRDefault="005355A8" w:rsidP="00AF7157">
      <w:pPr>
        <w:numPr>
          <w:ilvl w:val="0"/>
          <w:numId w:val="2"/>
        </w:numPr>
        <w:spacing w:before="120" w:after="120"/>
        <w:ind w:left="426" w:hanging="426"/>
        <w:jc w:val="both"/>
      </w:pPr>
      <w:r w:rsidRPr="00BF4EBA">
        <w:t>Подобряване на капацитета на ИПА за развитие на изследователската и издателската дейност, както и трансфера на добри практики в дейността на администрацията;</w:t>
      </w:r>
    </w:p>
    <w:p w14:paraId="324F0045" w14:textId="77777777" w:rsidR="005355A8" w:rsidRPr="00BF4EBA" w:rsidRDefault="005355A8" w:rsidP="005D7F67">
      <w:pPr>
        <w:numPr>
          <w:ilvl w:val="0"/>
          <w:numId w:val="2"/>
        </w:numPr>
        <w:spacing w:before="120" w:after="120"/>
        <w:ind w:left="426" w:hanging="426"/>
        <w:jc w:val="both"/>
      </w:pPr>
      <w:r w:rsidRPr="00BF4EBA">
        <w:t>Подобряване на капацитета на ИПА за качествено и ефективно предоставяне на обучения за всички нива на администрация;</w:t>
      </w:r>
    </w:p>
    <w:p w14:paraId="1BCA36FA" w14:textId="77777777" w:rsidR="005355A8" w:rsidRPr="00BF4EBA" w:rsidRDefault="005355A8" w:rsidP="005D7F67">
      <w:pPr>
        <w:numPr>
          <w:ilvl w:val="0"/>
          <w:numId w:val="2"/>
        </w:numPr>
        <w:spacing w:before="120" w:after="120"/>
        <w:ind w:left="426" w:hanging="426"/>
        <w:jc w:val="both"/>
      </w:pPr>
      <w:r w:rsidRPr="00BF4EBA">
        <w:t>Продължаване на координираното от ИПА обучение на служителите от държавната администрация в реномирани европейски институти за овладяване на знания и умения за доброто управление и изпълнение;</w:t>
      </w:r>
    </w:p>
    <w:p w14:paraId="37ABDB7B" w14:textId="77777777" w:rsidR="005355A8" w:rsidRPr="00BF4EBA" w:rsidRDefault="005355A8" w:rsidP="005D7F67">
      <w:pPr>
        <w:numPr>
          <w:ilvl w:val="0"/>
          <w:numId w:val="2"/>
        </w:numPr>
        <w:spacing w:before="120" w:after="120"/>
        <w:ind w:left="426" w:hanging="426"/>
        <w:jc w:val="both"/>
      </w:pPr>
      <w:r w:rsidRPr="00BF4EBA">
        <w:t>Развитие на иновативни форми на обучение, базирани на електронните, уеб-базирани и дистанционни обучения посредством система за управление на учебния процес;</w:t>
      </w:r>
    </w:p>
    <w:p w14:paraId="570FBC2C" w14:textId="77777777" w:rsidR="005355A8" w:rsidRPr="00BF4EBA" w:rsidRDefault="005355A8" w:rsidP="005D7F67">
      <w:pPr>
        <w:numPr>
          <w:ilvl w:val="0"/>
          <w:numId w:val="2"/>
        </w:numPr>
        <w:spacing w:before="120" w:after="120"/>
        <w:ind w:left="426" w:hanging="426"/>
        <w:jc w:val="both"/>
      </w:pPr>
      <w:r w:rsidRPr="00BF4EBA">
        <w:t>Задълбочаване на сътрудничеството между българския ИПА и сходни институции в страни-членки на ЕС.</w:t>
      </w:r>
    </w:p>
    <w:p w14:paraId="3451C845" w14:textId="1BA0D4C9" w:rsidR="00F159A4" w:rsidRPr="00BF4EBA" w:rsidRDefault="005355A8" w:rsidP="00EF6AAA">
      <w:pPr>
        <w:spacing w:before="120" w:after="120"/>
        <w:ind w:left="567" w:hanging="567"/>
        <w:jc w:val="both"/>
      </w:pPr>
      <w:r w:rsidRPr="00BF4EBA">
        <w:rPr>
          <w:b/>
          <w:i/>
        </w:rPr>
        <w:t>Целеви групи на проекта</w:t>
      </w:r>
      <w:r w:rsidRPr="00BF4EBA">
        <w:t xml:space="preserve"> са служители на Института по публична администрация и служители от централни, областни и общински администрации.</w:t>
      </w:r>
      <w:bookmarkStart w:id="10" w:name="_Toc205869334"/>
    </w:p>
    <w:p w14:paraId="617072D7" w14:textId="28F96F98" w:rsidR="00EB2803" w:rsidRPr="00BF4EBA" w:rsidRDefault="00EB2803" w:rsidP="00F37378">
      <w:pPr>
        <w:pStyle w:val="Heading2"/>
      </w:pPr>
      <w:bookmarkStart w:id="11" w:name="_Toc266289399"/>
      <w:bookmarkEnd w:id="10"/>
      <w:r w:rsidRPr="00BF4EBA">
        <w:t xml:space="preserve">5. </w:t>
      </w:r>
      <w:r w:rsidRPr="00BF4EBA">
        <w:tab/>
        <w:t>Изисквания за осигуряване на информация и публичност</w:t>
      </w:r>
      <w:bookmarkEnd w:id="11"/>
    </w:p>
    <w:p w14:paraId="066830D8" w14:textId="77777777" w:rsidR="006744E2" w:rsidRPr="00BF4EBA" w:rsidRDefault="006744E2" w:rsidP="004E54B6"/>
    <w:p w14:paraId="3E65B42F" w14:textId="394E2133" w:rsidR="00EB2803" w:rsidRPr="00BF4EBA" w:rsidRDefault="00EB2803" w:rsidP="00EB2803">
      <w:pPr>
        <w:ind w:firstLine="426"/>
        <w:jc w:val="both"/>
        <w:rPr>
          <w:rStyle w:val="FontStyle11"/>
          <w:sz w:val="24"/>
          <w:szCs w:val="24"/>
          <w:lang w:eastAsia="en-GB"/>
        </w:rPr>
      </w:pPr>
      <w:r w:rsidRPr="00BF4EBA">
        <w:rPr>
          <w:lang w:eastAsia="en-GB"/>
        </w:rPr>
        <w:t>При изпълнение на поръчката, изпълнителят трябва да спазва Изискванията за бенефициентите за осигуряване на информация и публичност по ОПАК.</w:t>
      </w:r>
    </w:p>
    <w:p w14:paraId="3A7F9994" w14:textId="77777777" w:rsidR="00EB2803" w:rsidRPr="00BF4EBA" w:rsidRDefault="00EB2803" w:rsidP="00EB2803">
      <w:pPr>
        <w:pStyle w:val="Style2"/>
        <w:widowControl/>
        <w:spacing w:before="120" w:line="240" w:lineRule="auto"/>
        <w:ind w:firstLine="426"/>
        <w:rPr>
          <w:rStyle w:val="FontStyle11"/>
          <w:sz w:val="24"/>
          <w:szCs w:val="24"/>
          <w:lang w:val="bg-BG" w:eastAsia="bg-BG"/>
        </w:rPr>
      </w:pPr>
      <w:r w:rsidRPr="00BF4EBA">
        <w:rPr>
          <w:rStyle w:val="FontStyle11"/>
          <w:sz w:val="24"/>
          <w:szCs w:val="24"/>
          <w:lang w:val="bg-BG" w:eastAsia="bg-BG"/>
        </w:rPr>
        <w:t xml:space="preserve">Всички документи и материали, свързани с изпълнението на обществената поръчка, следва да бъдат подготвени в съответствие с изискванията на ОПАК: </w:t>
      </w:r>
      <w:hyperlink r:id="rId9" w:history="1">
        <w:r w:rsidRPr="00BF4EBA">
          <w:rPr>
            <w:rStyle w:val="Hyperlink"/>
            <w:lang w:val="bg-BG" w:eastAsia="bg-BG"/>
          </w:rPr>
          <w:t>www.opac.government.bg</w:t>
        </w:r>
      </w:hyperlink>
      <w:r w:rsidRPr="00BF4EBA">
        <w:rPr>
          <w:rStyle w:val="FontStyle11"/>
          <w:sz w:val="24"/>
          <w:szCs w:val="24"/>
          <w:lang w:val="bg-BG" w:eastAsia="bg-BG"/>
        </w:rPr>
        <w:t xml:space="preserve"> </w:t>
      </w:r>
    </w:p>
    <w:p w14:paraId="4C339928" w14:textId="77777777" w:rsidR="00EB2803" w:rsidRPr="00BF4EBA" w:rsidRDefault="00EB2803" w:rsidP="00EB2803">
      <w:pPr>
        <w:pStyle w:val="Style2"/>
        <w:widowControl/>
        <w:spacing w:before="120" w:line="240" w:lineRule="auto"/>
        <w:ind w:firstLine="426"/>
        <w:rPr>
          <w:rStyle w:val="FontStyle11"/>
          <w:sz w:val="24"/>
          <w:szCs w:val="24"/>
          <w:lang w:val="bg-BG" w:eastAsia="bg-BG"/>
        </w:rPr>
      </w:pPr>
      <w:r w:rsidRPr="00BF4EBA">
        <w:rPr>
          <w:rStyle w:val="FontStyle11"/>
          <w:sz w:val="24"/>
          <w:szCs w:val="24"/>
          <w:lang w:val="bg-BG" w:eastAsia="bg-BG"/>
        </w:rPr>
        <w:t>Всички документи и материали трябва да съдържат:</w:t>
      </w:r>
    </w:p>
    <w:p w14:paraId="72877DED" w14:textId="77777777" w:rsidR="00EB2803" w:rsidRPr="00BF4EBA" w:rsidRDefault="00EB2803" w:rsidP="00AF7157">
      <w:pPr>
        <w:pStyle w:val="Style1"/>
        <w:widowControl/>
        <w:numPr>
          <w:ilvl w:val="0"/>
          <w:numId w:val="4"/>
        </w:numPr>
        <w:tabs>
          <w:tab w:val="left" w:pos="851"/>
        </w:tabs>
        <w:spacing w:before="120" w:line="240" w:lineRule="auto"/>
        <w:ind w:left="851" w:hanging="425"/>
        <w:jc w:val="both"/>
        <w:rPr>
          <w:rStyle w:val="FontStyle11"/>
          <w:sz w:val="24"/>
          <w:szCs w:val="24"/>
          <w:lang w:val="bg-BG" w:eastAsia="bg-BG"/>
        </w:rPr>
      </w:pPr>
      <w:r w:rsidRPr="00BF4EBA">
        <w:rPr>
          <w:rStyle w:val="FontStyle11"/>
          <w:sz w:val="24"/>
          <w:szCs w:val="24"/>
          <w:lang w:val="bg-BG" w:eastAsia="bg-BG"/>
        </w:rPr>
        <w:t>логото и слогана на ЕСФ;</w:t>
      </w:r>
    </w:p>
    <w:p w14:paraId="52F6EA9A" w14:textId="77777777" w:rsidR="00EB2803" w:rsidRPr="00BF4EBA" w:rsidRDefault="00EB2803" w:rsidP="00AF7157">
      <w:pPr>
        <w:pStyle w:val="Style1"/>
        <w:widowControl/>
        <w:numPr>
          <w:ilvl w:val="0"/>
          <w:numId w:val="4"/>
        </w:numPr>
        <w:tabs>
          <w:tab w:val="left" w:pos="851"/>
        </w:tabs>
        <w:spacing w:before="120" w:line="240" w:lineRule="auto"/>
        <w:ind w:left="851" w:hanging="425"/>
        <w:jc w:val="both"/>
        <w:rPr>
          <w:rStyle w:val="FontStyle11"/>
          <w:sz w:val="24"/>
          <w:szCs w:val="24"/>
          <w:lang w:val="bg-BG" w:eastAsia="bg-BG"/>
        </w:rPr>
      </w:pPr>
      <w:r w:rsidRPr="00BF4EBA">
        <w:rPr>
          <w:rStyle w:val="FontStyle11"/>
          <w:sz w:val="24"/>
          <w:szCs w:val="24"/>
          <w:lang w:val="bg-BG" w:eastAsia="bg-BG"/>
        </w:rPr>
        <w:t>логото и слогана на ОПАК;</w:t>
      </w:r>
    </w:p>
    <w:p w14:paraId="6592F960" w14:textId="77777777" w:rsidR="00EB2803" w:rsidRPr="00BF4EBA" w:rsidRDefault="00EB2803" w:rsidP="00AF7157">
      <w:pPr>
        <w:pStyle w:val="Style1"/>
        <w:widowControl/>
        <w:numPr>
          <w:ilvl w:val="0"/>
          <w:numId w:val="4"/>
        </w:numPr>
        <w:tabs>
          <w:tab w:val="left" w:pos="851"/>
        </w:tabs>
        <w:spacing w:before="120" w:line="240" w:lineRule="auto"/>
        <w:ind w:left="851" w:hanging="425"/>
        <w:jc w:val="both"/>
        <w:rPr>
          <w:rStyle w:val="FontStyle11"/>
          <w:sz w:val="24"/>
          <w:szCs w:val="24"/>
          <w:lang w:val="bg-BG" w:eastAsia="bg-BG"/>
        </w:rPr>
      </w:pPr>
      <w:r w:rsidRPr="00BF4EBA">
        <w:rPr>
          <w:rStyle w:val="FontStyle11"/>
          <w:sz w:val="24"/>
          <w:szCs w:val="24"/>
          <w:lang w:val="bg-BG" w:eastAsia="bg-BG"/>
        </w:rPr>
        <w:t>флага на ЕС;</w:t>
      </w:r>
    </w:p>
    <w:p w14:paraId="5275B323" w14:textId="77777777" w:rsidR="00EB2803" w:rsidRPr="00BF4EBA" w:rsidRDefault="00EB2803" w:rsidP="00AF7157">
      <w:pPr>
        <w:pStyle w:val="Style1"/>
        <w:widowControl/>
        <w:numPr>
          <w:ilvl w:val="0"/>
          <w:numId w:val="4"/>
        </w:numPr>
        <w:tabs>
          <w:tab w:val="left" w:pos="851"/>
        </w:tabs>
        <w:spacing w:before="120" w:line="240" w:lineRule="auto"/>
        <w:ind w:left="851" w:hanging="425"/>
        <w:jc w:val="both"/>
        <w:rPr>
          <w:rStyle w:val="FontStyle11"/>
          <w:sz w:val="24"/>
          <w:szCs w:val="24"/>
          <w:lang w:val="bg-BG" w:eastAsia="bg-BG"/>
        </w:rPr>
      </w:pPr>
      <w:r w:rsidRPr="00BF4EBA">
        <w:rPr>
          <w:rStyle w:val="FontStyle11"/>
          <w:sz w:val="24"/>
          <w:szCs w:val="24"/>
          <w:lang w:val="bg-BG" w:eastAsia="bg-BG"/>
        </w:rPr>
        <w:t xml:space="preserve">името на проекта, който се изпълнява: </w:t>
      </w:r>
      <w:r w:rsidRPr="00BF4EBA">
        <w:rPr>
          <w:rStyle w:val="FontStyle11"/>
          <w:i/>
          <w:iCs/>
          <w:sz w:val="24"/>
          <w:szCs w:val="24"/>
          <w:lang w:val="bg-BG" w:eastAsia="bg-BG"/>
        </w:rPr>
        <w:t>Проект „</w:t>
      </w:r>
      <w:r w:rsidRPr="00BF4EBA">
        <w:rPr>
          <w:rStyle w:val="FontStyle11"/>
          <w:i/>
          <w:sz w:val="24"/>
          <w:szCs w:val="24"/>
          <w:lang w:val="bg-BG" w:eastAsia="bg-BG"/>
        </w:rPr>
        <w:t>Изграждане на капацитет на ИПА за изследвания, обучение и приложение на иновативни европейски практики в доброто управление</w:t>
      </w:r>
      <w:r w:rsidRPr="00BF4EBA">
        <w:rPr>
          <w:i/>
          <w:lang w:val="bg-BG"/>
        </w:rPr>
        <w:t>”</w:t>
      </w:r>
      <w:r w:rsidRPr="00BF4EBA">
        <w:rPr>
          <w:rStyle w:val="FontStyle11"/>
          <w:sz w:val="24"/>
          <w:szCs w:val="24"/>
          <w:lang w:val="bg-BG" w:eastAsia="bg-BG"/>
        </w:rPr>
        <w:t>;</w:t>
      </w:r>
    </w:p>
    <w:p w14:paraId="086628B3" w14:textId="77777777" w:rsidR="00EB2803" w:rsidRPr="00BF4EBA" w:rsidRDefault="00EB2803" w:rsidP="00AF7157">
      <w:pPr>
        <w:pStyle w:val="Style1"/>
        <w:widowControl/>
        <w:numPr>
          <w:ilvl w:val="0"/>
          <w:numId w:val="4"/>
        </w:numPr>
        <w:tabs>
          <w:tab w:val="left" w:pos="851"/>
        </w:tabs>
        <w:spacing w:before="120" w:line="240" w:lineRule="auto"/>
        <w:ind w:left="851" w:hanging="425"/>
        <w:jc w:val="both"/>
        <w:rPr>
          <w:rStyle w:val="FontStyle11"/>
          <w:sz w:val="24"/>
          <w:szCs w:val="24"/>
          <w:lang w:val="bg-BG" w:eastAsia="bg-BG"/>
        </w:rPr>
      </w:pPr>
      <w:r w:rsidRPr="00BF4EBA">
        <w:rPr>
          <w:rStyle w:val="FontStyle11"/>
          <w:sz w:val="24"/>
          <w:szCs w:val="24"/>
          <w:lang w:val="bg-BG" w:eastAsia="bg-BG"/>
        </w:rPr>
        <w:t xml:space="preserve">името на оперативната програма, изписано изцяло: </w:t>
      </w:r>
      <w:r w:rsidRPr="00BF4EBA">
        <w:rPr>
          <w:rStyle w:val="FontStyle11"/>
          <w:i/>
          <w:iCs/>
          <w:sz w:val="24"/>
          <w:szCs w:val="24"/>
          <w:lang w:val="bg-BG" w:eastAsia="bg-BG"/>
        </w:rPr>
        <w:t>Оперативна програма „Административен капацитет</w:t>
      </w:r>
      <w:r w:rsidRPr="00BF4EBA">
        <w:rPr>
          <w:i/>
          <w:lang w:val="bg-BG"/>
        </w:rPr>
        <w:t>”</w:t>
      </w:r>
      <w:r w:rsidRPr="00BF4EBA">
        <w:rPr>
          <w:rStyle w:val="FontStyle11"/>
          <w:sz w:val="24"/>
          <w:szCs w:val="24"/>
          <w:lang w:val="bg-BG" w:eastAsia="bg-BG"/>
        </w:rPr>
        <w:t>;</w:t>
      </w:r>
    </w:p>
    <w:p w14:paraId="52340C7B" w14:textId="77777777" w:rsidR="00EB2803" w:rsidRPr="00BF4EBA" w:rsidRDefault="00EB2803" w:rsidP="00AF7157">
      <w:pPr>
        <w:pStyle w:val="Style1"/>
        <w:widowControl/>
        <w:numPr>
          <w:ilvl w:val="0"/>
          <w:numId w:val="4"/>
        </w:numPr>
        <w:tabs>
          <w:tab w:val="left" w:pos="851"/>
        </w:tabs>
        <w:spacing w:before="120" w:line="240" w:lineRule="auto"/>
        <w:ind w:left="851" w:hanging="425"/>
        <w:jc w:val="both"/>
        <w:rPr>
          <w:rStyle w:val="FontStyle11"/>
          <w:sz w:val="24"/>
          <w:szCs w:val="24"/>
          <w:lang w:val="bg-BG" w:eastAsia="bg-BG"/>
        </w:rPr>
      </w:pPr>
      <w:r w:rsidRPr="00BF4EBA">
        <w:rPr>
          <w:rStyle w:val="FontStyle11"/>
          <w:sz w:val="24"/>
          <w:szCs w:val="24"/>
          <w:lang w:val="bg-BG" w:eastAsia="bg-BG"/>
        </w:rPr>
        <w:t xml:space="preserve">изречението </w:t>
      </w:r>
      <w:r w:rsidRPr="00BF4EBA">
        <w:rPr>
          <w:i/>
          <w:lang w:val="bg-BG"/>
        </w:rPr>
        <w:t>Съфинансиран от Европейския съюз чрез Европейски социален фонд по Оперативна програма „Административен капацитет”</w:t>
      </w:r>
      <w:r w:rsidRPr="00BF4EBA">
        <w:rPr>
          <w:rStyle w:val="FontStyle11"/>
          <w:i/>
          <w:sz w:val="24"/>
          <w:szCs w:val="24"/>
          <w:lang w:val="bg-BG" w:eastAsia="bg-BG"/>
        </w:rPr>
        <w:t>;</w:t>
      </w:r>
    </w:p>
    <w:p w14:paraId="31CFA007" w14:textId="77777777" w:rsidR="00EB2803" w:rsidRPr="00BF4EBA" w:rsidRDefault="00EB2803" w:rsidP="00AF7157">
      <w:pPr>
        <w:pStyle w:val="Style1"/>
        <w:widowControl/>
        <w:numPr>
          <w:ilvl w:val="0"/>
          <w:numId w:val="4"/>
        </w:numPr>
        <w:tabs>
          <w:tab w:val="left" w:pos="851"/>
        </w:tabs>
        <w:spacing w:before="120" w:line="240" w:lineRule="auto"/>
        <w:ind w:left="851" w:hanging="425"/>
        <w:jc w:val="both"/>
        <w:rPr>
          <w:rStyle w:val="FontStyle11"/>
          <w:sz w:val="24"/>
          <w:szCs w:val="24"/>
          <w:lang w:val="bg-BG" w:eastAsia="bg-BG"/>
        </w:rPr>
      </w:pPr>
      <w:r w:rsidRPr="00BF4EBA">
        <w:rPr>
          <w:rStyle w:val="FontStyle11"/>
          <w:sz w:val="24"/>
          <w:szCs w:val="24"/>
          <w:lang w:val="bg-BG" w:eastAsia="bg-BG"/>
        </w:rPr>
        <w:t xml:space="preserve">Интернет страница на ОПАК: </w:t>
      </w:r>
      <w:hyperlink r:id="rId10" w:history="1">
        <w:r w:rsidRPr="00BF4EBA">
          <w:rPr>
            <w:rStyle w:val="Hyperlink"/>
            <w:lang w:val="bg-BG" w:eastAsia="bg-BG"/>
          </w:rPr>
          <w:t>www.opac.government.bg</w:t>
        </w:r>
      </w:hyperlink>
      <w:r w:rsidRPr="00BF4EBA">
        <w:rPr>
          <w:lang w:val="bg-BG" w:eastAsia="bg-BG"/>
        </w:rPr>
        <w:t xml:space="preserve"> </w:t>
      </w:r>
      <w:r w:rsidRPr="00BF4EBA">
        <w:rPr>
          <w:rStyle w:val="FontStyle11"/>
          <w:sz w:val="24"/>
          <w:szCs w:val="24"/>
          <w:lang w:val="bg-BG" w:eastAsia="bg-BG"/>
        </w:rPr>
        <w:t xml:space="preserve"> </w:t>
      </w:r>
    </w:p>
    <w:p w14:paraId="053B021D" w14:textId="77777777" w:rsidR="00EB2803" w:rsidRPr="00BF4EBA" w:rsidRDefault="00EB2803" w:rsidP="00EB2803">
      <w:pPr>
        <w:ind w:firstLine="426"/>
      </w:pPr>
      <w:r w:rsidRPr="00BF4EBA">
        <w:rPr>
          <w:rStyle w:val="FontStyle11"/>
          <w:sz w:val="24"/>
          <w:szCs w:val="24"/>
        </w:rPr>
        <w:t>За информация, разпространявана по електронен път, включително заглавните екрани на програмните модули, описаните принципи се прилагат аналогично.</w:t>
      </w:r>
    </w:p>
    <w:p w14:paraId="507AEB36" w14:textId="77777777" w:rsidR="00EB2803" w:rsidRPr="00BF4EBA" w:rsidRDefault="00EB2803" w:rsidP="004E54B6"/>
    <w:p w14:paraId="7361D898" w14:textId="77777777" w:rsidR="00BF4EBA" w:rsidRPr="00BF4EBA" w:rsidRDefault="00BF4EBA" w:rsidP="004E54B6">
      <w:pPr>
        <w:rPr>
          <w:b/>
          <w:lang w:val="en-US"/>
        </w:rPr>
      </w:pPr>
    </w:p>
    <w:p w14:paraId="3F700C55" w14:textId="3DBB75DD" w:rsidR="00BF4EBA" w:rsidRPr="00BF4EBA" w:rsidRDefault="00BF4EBA" w:rsidP="00AF7157">
      <w:pPr>
        <w:pStyle w:val="Heading2"/>
        <w:numPr>
          <w:ilvl w:val="0"/>
          <w:numId w:val="35"/>
        </w:numPr>
      </w:pPr>
      <w:bookmarkStart w:id="12" w:name="_Toc381043092"/>
      <w:bookmarkStart w:id="13" w:name="_Toc386965140"/>
      <w:bookmarkStart w:id="14" w:name="_Toc386965517"/>
      <w:bookmarkStart w:id="15" w:name="_Toc266289431"/>
      <w:r w:rsidRPr="00BF4EBA">
        <w:lastRenderedPageBreak/>
        <w:t xml:space="preserve">Цели на </w:t>
      </w:r>
      <w:bookmarkEnd w:id="12"/>
      <w:bookmarkEnd w:id="13"/>
      <w:bookmarkEnd w:id="14"/>
      <w:bookmarkEnd w:id="15"/>
      <w:r w:rsidR="00FA4BD7">
        <w:t>поръчката</w:t>
      </w:r>
    </w:p>
    <w:p w14:paraId="4895E6A7" w14:textId="045C6D7A" w:rsidR="00BF4EBA" w:rsidRPr="00BF4EBA" w:rsidRDefault="00BF4EBA" w:rsidP="00BF4EBA">
      <w:pPr>
        <w:ind w:firstLine="426"/>
        <w:jc w:val="both"/>
      </w:pPr>
      <w:r w:rsidRPr="00BF4EBA">
        <w:t xml:space="preserve">Изпълнението на </w:t>
      </w:r>
      <w:r w:rsidR="00FA4BD7">
        <w:t>поръчката</w:t>
      </w:r>
      <w:r w:rsidRPr="00BF4EBA">
        <w:t xml:space="preserve"> трябва да отговаря на определени цели и съответни изисквания по отношение на спазвани стандарти и технически параметри.</w:t>
      </w:r>
    </w:p>
    <w:p w14:paraId="39BE8356" w14:textId="77777777" w:rsidR="00BF4EBA" w:rsidRPr="00BF4EBA" w:rsidRDefault="00BF4EBA" w:rsidP="00AF7157">
      <w:pPr>
        <w:pStyle w:val="ListParagraph"/>
        <w:numPr>
          <w:ilvl w:val="0"/>
          <w:numId w:val="21"/>
        </w:numPr>
        <w:spacing w:before="120"/>
        <w:contextualSpacing w:val="0"/>
        <w:jc w:val="both"/>
      </w:pPr>
      <w:r w:rsidRPr="00BF4EBA">
        <w:t xml:space="preserve">Консолидиране на сървърните ресурси посредством постепенна миграция на съществуващите системи към централизирана платформа с общи изчислителни ресурси, позволяващи динамично разпределение в зависимост от нуждите на продуктивните системи (приложения) с помощта на </w:t>
      </w:r>
      <w:proofErr w:type="spellStart"/>
      <w:r w:rsidRPr="00BF4EBA">
        <w:t>виртуализационни</w:t>
      </w:r>
      <w:proofErr w:type="spellEnd"/>
      <w:r w:rsidRPr="00BF4EBA">
        <w:t xml:space="preserve"> платформи (</w:t>
      </w:r>
      <w:r w:rsidRPr="00BF4EBA">
        <w:rPr>
          <w:lang w:val="en-US"/>
        </w:rPr>
        <w:t>MS</w:t>
      </w:r>
      <w:r w:rsidRPr="00BF4EBA">
        <w:t xml:space="preserve"> </w:t>
      </w:r>
      <w:r w:rsidRPr="00BF4EBA">
        <w:rPr>
          <w:lang w:val="en-US"/>
        </w:rPr>
        <w:t>Hyper</w:t>
      </w:r>
      <w:r w:rsidRPr="00BF4EBA">
        <w:t>-</w:t>
      </w:r>
      <w:r w:rsidRPr="00BF4EBA">
        <w:rPr>
          <w:lang w:val="en-US"/>
        </w:rPr>
        <w:t>V</w:t>
      </w:r>
      <w:r w:rsidRPr="00BF4EBA">
        <w:t xml:space="preserve">, </w:t>
      </w:r>
      <w:proofErr w:type="spellStart"/>
      <w:r w:rsidRPr="00BF4EBA">
        <w:t>VMware</w:t>
      </w:r>
      <w:proofErr w:type="spellEnd"/>
      <w:r w:rsidRPr="00BF4EBA">
        <w:t xml:space="preserve"> </w:t>
      </w:r>
      <w:proofErr w:type="spellStart"/>
      <w:r w:rsidRPr="00BF4EBA">
        <w:t>vSphere</w:t>
      </w:r>
      <w:proofErr w:type="spellEnd"/>
      <w:r w:rsidRPr="00BF4EBA">
        <w:t xml:space="preserve"> или </w:t>
      </w:r>
      <w:r w:rsidRPr="00BF4EBA">
        <w:rPr>
          <w:lang w:val="en-US"/>
        </w:rPr>
        <w:t>Citrix</w:t>
      </w:r>
      <w:r w:rsidRPr="00BF4EBA">
        <w:t xml:space="preserve"> </w:t>
      </w:r>
      <w:proofErr w:type="spellStart"/>
      <w:r w:rsidRPr="00BF4EBA">
        <w:rPr>
          <w:lang w:val="en-US"/>
        </w:rPr>
        <w:t>XenServer</w:t>
      </w:r>
      <w:proofErr w:type="spellEnd"/>
      <w:r w:rsidRPr="00BF4EBA">
        <w:t>);</w:t>
      </w:r>
    </w:p>
    <w:p w14:paraId="5CC15EF2" w14:textId="77777777" w:rsidR="00BF4EBA" w:rsidRPr="00BF4EBA" w:rsidRDefault="00BF4EBA" w:rsidP="00AF7157">
      <w:pPr>
        <w:pStyle w:val="ListParagraph"/>
        <w:numPr>
          <w:ilvl w:val="0"/>
          <w:numId w:val="21"/>
        </w:numPr>
        <w:spacing w:before="120"/>
        <w:contextualSpacing w:val="0"/>
        <w:jc w:val="both"/>
      </w:pPr>
      <w:r w:rsidRPr="00BF4EBA">
        <w:t>Намаляване оперативните разходи посредством внедряване на хомогенна платформа с единична точка на управление и изключително опростена архитектура, вградени технологии за ефективна консумация на електроенергия, договорени нива на сервизна поддръжка (</w:t>
      </w:r>
      <w:r w:rsidRPr="00BF4EBA">
        <w:rPr>
          <w:lang w:val="en-US"/>
        </w:rPr>
        <w:t>SLA</w:t>
      </w:r>
      <w:r w:rsidRPr="00BF4EBA">
        <w:t xml:space="preserve">) за цялото оборудване; </w:t>
      </w:r>
    </w:p>
    <w:p w14:paraId="0164488D" w14:textId="77777777" w:rsidR="00BF4EBA" w:rsidRPr="00BF4EBA" w:rsidRDefault="00BF4EBA" w:rsidP="00AF7157">
      <w:pPr>
        <w:pStyle w:val="ListParagraph"/>
        <w:numPr>
          <w:ilvl w:val="0"/>
          <w:numId w:val="21"/>
        </w:numPr>
        <w:spacing w:before="120"/>
        <w:contextualSpacing w:val="0"/>
        <w:jc w:val="both"/>
      </w:pPr>
      <w:r w:rsidRPr="00BF4EBA">
        <w:t>Защита на направените инвестиции благодарение на модулния дизайн и скалируемата архитектура на решението, поддържаща надграждане успоредно с нарастването нуждите на организацията;</w:t>
      </w:r>
    </w:p>
    <w:p w14:paraId="7F400C81" w14:textId="77777777" w:rsidR="00BF4EBA" w:rsidRPr="00BF4EBA" w:rsidRDefault="00BF4EBA" w:rsidP="00AF7157">
      <w:pPr>
        <w:pStyle w:val="ListParagraph"/>
        <w:numPr>
          <w:ilvl w:val="0"/>
          <w:numId w:val="21"/>
        </w:numPr>
        <w:spacing w:before="120"/>
        <w:contextualSpacing w:val="0"/>
        <w:jc w:val="both"/>
      </w:pPr>
      <w:r w:rsidRPr="00BF4EBA">
        <w:t>Намаляване времето за престой, причинено от срив на системата в следствие на повреда на оборудване или компонент, посредством внедряване на решение, позволяващо динамично или мигновено предоставяне на ресурси в случай на нужда;</w:t>
      </w:r>
    </w:p>
    <w:p w14:paraId="572CB569" w14:textId="77777777" w:rsidR="00BF4EBA" w:rsidRPr="00BF4EBA" w:rsidRDefault="00BF4EBA" w:rsidP="00AF7157">
      <w:pPr>
        <w:pStyle w:val="ListParagraph"/>
        <w:numPr>
          <w:ilvl w:val="0"/>
          <w:numId w:val="21"/>
        </w:numPr>
        <w:spacing w:before="120"/>
        <w:contextualSpacing w:val="0"/>
        <w:jc w:val="both"/>
      </w:pPr>
      <w:r w:rsidRPr="00BF4EBA">
        <w:t xml:space="preserve">Внедряване на инфраструктурно решение, специално проектирано и тествано за работа с </w:t>
      </w:r>
      <w:proofErr w:type="spellStart"/>
      <w:r w:rsidRPr="00BF4EBA">
        <w:t>виртуализиращи</w:t>
      </w:r>
      <w:proofErr w:type="spellEnd"/>
      <w:r w:rsidRPr="00BF4EBA">
        <w:t xml:space="preserve"> платформи, което допълнително допринася за по-лесно управление, по-висока производителност и по-високи нива на наличност (</w:t>
      </w:r>
      <w:proofErr w:type="spellStart"/>
      <w:r w:rsidRPr="00BF4EBA">
        <w:t>availability</w:t>
      </w:r>
      <w:proofErr w:type="spellEnd"/>
      <w:r w:rsidRPr="00BF4EBA">
        <w:t>) на продуктивните системи (приложения).</w:t>
      </w:r>
    </w:p>
    <w:p w14:paraId="69386EF5" w14:textId="77777777" w:rsidR="00BF4EBA" w:rsidRPr="00BF4EBA" w:rsidRDefault="00BF4EBA" w:rsidP="00BF4EBA">
      <w:pPr>
        <w:ind w:firstLine="426"/>
      </w:pPr>
    </w:p>
    <w:p w14:paraId="3505A9D6" w14:textId="77777777" w:rsidR="00BF4EBA" w:rsidRPr="00BF4EBA" w:rsidRDefault="00BF4EBA" w:rsidP="00AF7157">
      <w:pPr>
        <w:pStyle w:val="Heading2"/>
        <w:numPr>
          <w:ilvl w:val="0"/>
          <w:numId w:val="35"/>
        </w:numPr>
      </w:pPr>
      <w:bookmarkStart w:id="16" w:name="_Toc381043093"/>
      <w:bookmarkStart w:id="17" w:name="_Toc386965141"/>
      <w:bookmarkStart w:id="18" w:name="_Toc386965518"/>
      <w:bookmarkStart w:id="19" w:name="_Toc266289432"/>
      <w:r w:rsidRPr="00BF4EBA">
        <w:t>Архитектура</w:t>
      </w:r>
      <w:bookmarkEnd w:id="16"/>
      <w:bookmarkEnd w:id="17"/>
      <w:bookmarkEnd w:id="18"/>
      <w:bookmarkEnd w:id="19"/>
    </w:p>
    <w:p w14:paraId="355141BF" w14:textId="77777777" w:rsidR="00BF4EBA" w:rsidRPr="00BF4EBA" w:rsidRDefault="00BF4EBA" w:rsidP="00BF4EBA">
      <w:pPr>
        <w:ind w:firstLine="426"/>
        <w:jc w:val="both"/>
      </w:pPr>
      <w:r w:rsidRPr="00BF4EBA">
        <w:t xml:space="preserve">Решението включва сървърна ферма, представляваща изчислителния ресурс на виртуалния клъстер, и споделен дисков масив, върху който ще се намират виртуалните машини и техните данни. </w:t>
      </w:r>
    </w:p>
    <w:p w14:paraId="09540F69" w14:textId="77777777" w:rsidR="00BF4EBA" w:rsidRPr="00BF4EBA" w:rsidRDefault="00BF4EBA" w:rsidP="00BF4EBA">
      <w:pPr>
        <w:ind w:firstLine="426"/>
        <w:jc w:val="both"/>
      </w:pPr>
      <w:r w:rsidRPr="00BF4EBA">
        <w:t xml:space="preserve">Решението предоставя максимална резервираност на сървърната инфраструктура благодарение на </w:t>
      </w:r>
      <w:proofErr w:type="spellStart"/>
      <w:r w:rsidRPr="00BF4EBA">
        <w:t>клъстерния</w:t>
      </w:r>
      <w:proofErr w:type="spellEnd"/>
      <w:r w:rsidRPr="00BF4EBA">
        <w:t xml:space="preserve"> дизайн и сдвоените резервирани компоненти на всички възли на системата. </w:t>
      </w:r>
      <w:proofErr w:type="spellStart"/>
      <w:r w:rsidRPr="00BF4EBA">
        <w:t>Клъстерният</w:t>
      </w:r>
      <w:proofErr w:type="spellEnd"/>
      <w:r w:rsidRPr="00BF4EBA">
        <w:t xml:space="preserve"> дизайн позволява при отпадане на физически сървър (</w:t>
      </w:r>
      <w:proofErr w:type="spellStart"/>
      <w:r w:rsidRPr="00BF4EBA">
        <w:t>node</w:t>
      </w:r>
      <w:proofErr w:type="spellEnd"/>
      <w:r w:rsidRPr="00BF4EBA">
        <w:t>) в следствие на повреда или човешка грешка, всички виртуални машини, работещи върху физическия сървър, да бъдат вдигнати върху друг физически сървър от клъстера. Подобно решение осигурява минимално време за престой и осигурява надеждност и висока степен на достъпност (</w:t>
      </w:r>
      <w:proofErr w:type="spellStart"/>
      <w:r w:rsidRPr="00BF4EBA">
        <w:t>availability</w:t>
      </w:r>
      <w:proofErr w:type="spellEnd"/>
      <w:r w:rsidRPr="00BF4EBA">
        <w:t>) на работещите върху виртуалните машини приложения.</w:t>
      </w:r>
    </w:p>
    <w:p w14:paraId="41812E5D" w14:textId="77777777" w:rsidR="00BF4EBA" w:rsidRPr="00BF4EBA" w:rsidRDefault="00BF4EBA" w:rsidP="00AF7157">
      <w:pPr>
        <w:pStyle w:val="Heading2"/>
        <w:numPr>
          <w:ilvl w:val="0"/>
          <w:numId w:val="35"/>
        </w:numPr>
      </w:pPr>
      <w:bookmarkStart w:id="20" w:name="_Toc381038878"/>
      <w:bookmarkStart w:id="21" w:name="_Toc381039474"/>
      <w:bookmarkStart w:id="22" w:name="_Toc381039547"/>
      <w:bookmarkStart w:id="23" w:name="_Toc381043094"/>
      <w:bookmarkStart w:id="24" w:name="_Toc386965142"/>
      <w:bookmarkStart w:id="25" w:name="_Toc386965519"/>
      <w:bookmarkStart w:id="26" w:name="_Toc266289433"/>
      <w:r w:rsidRPr="00BF4EBA">
        <w:t>Описание на дейностите</w:t>
      </w:r>
      <w:bookmarkEnd w:id="20"/>
      <w:bookmarkEnd w:id="21"/>
      <w:bookmarkEnd w:id="22"/>
      <w:bookmarkEnd w:id="23"/>
      <w:bookmarkEnd w:id="24"/>
      <w:bookmarkEnd w:id="25"/>
      <w:bookmarkEnd w:id="26"/>
    </w:p>
    <w:p w14:paraId="13DC786F" w14:textId="77777777" w:rsidR="00BF4EBA" w:rsidRPr="00BF4EBA" w:rsidRDefault="00BF4EBA" w:rsidP="00BF4EBA">
      <w:pPr>
        <w:ind w:firstLine="426"/>
        <w:jc w:val="both"/>
      </w:pPr>
      <w:r w:rsidRPr="00BF4EBA">
        <w:t>За осигуряване на производителна, защитена, надеждна и безотказна Електронна платформа за управление на учебния процес и сигурна среда за работа, ще са нужни съответно оборудване – хардуерна платформа за виртуализация, и софтуер за нейното управление:</w:t>
      </w:r>
    </w:p>
    <w:p w14:paraId="0C04FB37" w14:textId="77777777" w:rsidR="00BF4EBA" w:rsidRPr="00BF4EBA" w:rsidRDefault="00BF4EBA" w:rsidP="00BF4EBA">
      <w:pPr>
        <w:ind w:firstLine="426"/>
        <w:jc w:val="both"/>
      </w:pPr>
      <w:r w:rsidRPr="00BF4EBA">
        <w:t>Всички доставени елементи на оборудването трябва да са придружени от документация (като минимум: ръководства за експлоатация) на български език.</w:t>
      </w:r>
    </w:p>
    <w:p w14:paraId="36262BFF" w14:textId="77777777" w:rsidR="00BF4EBA" w:rsidRPr="00BF4EBA" w:rsidRDefault="00BF4EBA" w:rsidP="00BF4EBA">
      <w:pPr>
        <w:ind w:firstLine="426"/>
        <w:jc w:val="both"/>
      </w:pPr>
      <w:r w:rsidRPr="00BF4EBA">
        <w:t>За всеки елемент участникът трябва да оферира не повече от един модел.</w:t>
      </w:r>
    </w:p>
    <w:p w14:paraId="7172A642" w14:textId="77777777" w:rsidR="00BF4EBA" w:rsidRPr="00BF4EBA" w:rsidRDefault="00BF4EBA" w:rsidP="00BF4EBA">
      <w:pPr>
        <w:ind w:firstLine="426"/>
        <w:jc w:val="both"/>
      </w:pPr>
      <w:r w:rsidRPr="00BF4EBA">
        <w:lastRenderedPageBreak/>
        <w:t xml:space="preserve">Техническите спецификации по-долу представляват минимални изисквания, базирани на предвидените функции на оборудването, технически характеристики или предназначение. </w:t>
      </w:r>
    </w:p>
    <w:p w14:paraId="56611CE6" w14:textId="77777777" w:rsidR="00BF4EBA" w:rsidRPr="00BF4EBA" w:rsidRDefault="00BF4EBA" w:rsidP="00BF4EBA">
      <w:pPr>
        <w:ind w:firstLine="426"/>
        <w:jc w:val="both"/>
      </w:pPr>
      <w:r w:rsidRPr="00BF4EBA">
        <w:t xml:space="preserve">Задължителна е пълна съвместимост на отделните елементи. Офертата трябва да включва съответната документация (например брошури, листове с технически данни и др.), която позволява оценка на съответното качество, съвместимост и </w:t>
      </w:r>
      <w:proofErr w:type="spellStart"/>
      <w:r w:rsidRPr="00BF4EBA">
        <w:t>взаимосвързаност</w:t>
      </w:r>
      <w:proofErr w:type="spellEnd"/>
      <w:r w:rsidRPr="00BF4EBA">
        <w:t xml:space="preserve">. </w:t>
      </w:r>
    </w:p>
    <w:p w14:paraId="669E852F" w14:textId="77777777" w:rsidR="00BF4EBA" w:rsidRPr="00BF4EBA" w:rsidRDefault="00BF4EBA" w:rsidP="00BF4EBA">
      <w:pPr>
        <w:ind w:firstLine="426"/>
        <w:jc w:val="both"/>
      </w:pPr>
    </w:p>
    <w:p w14:paraId="6A684FE9" w14:textId="77777777" w:rsidR="00BF4EBA" w:rsidRPr="00BF4EBA" w:rsidRDefault="00BF4EBA" w:rsidP="00BF4EBA">
      <w:pPr>
        <w:ind w:firstLine="426"/>
        <w:jc w:val="both"/>
      </w:pPr>
      <w:r w:rsidRPr="00BF4EBA">
        <w:t>Участникът, който бъде избран за изпълнител на поръчката, трябва да извърши следните дейности:</w:t>
      </w:r>
    </w:p>
    <w:p w14:paraId="3ECE96CE" w14:textId="102A4B94" w:rsidR="00BF4EBA" w:rsidRPr="00BF4EBA" w:rsidRDefault="00BF4EBA" w:rsidP="00AF7157">
      <w:pPr>
        <w:pStyle w:val="Heading2"/>
        <w:keepLines w:val="0"/>
        <w:numPr>
          <w:ilvl w:val="1"/>
          <w:numId w:val="20"/>
        </w:numPr>
        <w:spacing w:before="120"/>
        <w:jc w:val="both"/>
        <w:rPr>
          <w:rStyle w:val="Heading1Char"/>
          <w:rFonts w:ascii="Times New Roman" w:hAnsi="Times New Roman" w:cs="Times New Roman"/>
          <w:b/>
          <w:sz w:val="24"/>
          <w:szCs w:val="24"/>
        </w:rPr>
      </w:pPr>
      <w:bookmarkStart w:id="27" w:name="_Toc381038882"/>
      <w:bookmarkStart w:id="28" w:name="_Toc381039478"/>
      <w:bookmarkStart w:id="29" w:name="_Toc381039551"/>
      <w:bookmarkStart w:id="30" w:name="_Toc381043095"/>
      <w:bookmarkStart w:id="31" w:name="_Toc386965143"/>
      <w:bookmarkStart w:id="32" w:name="_Toc386965520"/>
      <w:bookmarkStart w:id="33" w:name="_Toc266289434"/>
      <w:r w:rsidRPr="00BF4EBA">
        <w:rPr>
          <w:rFonts w:ascii="Times New Roman" w:hAnsi="Times New Roman" w:cs="Times New Roman"/>
        </w:rPr>
        <w:t xml:space="preserve">Доставка и инсталиране на хардуерна платформа за виртуализация, </w:t>
      </w:r>
      <w:r w:rsidR="00AA2B1D" w:rsidRPr="00BF4EBA">
        <w:rPr>
          <w:rFonts w:ascii="Times New Roman" w:hAnsi="Times New Roman" w:cs="Times New Roman"/>
        </w:rPr>
        <w:t>ко</w:t>
      </w:r>
      <w:r w:rsidR="00AA2B1D">
        <w:rPr>
          <w:rFonts w:ascii="Times New Roman" w:hAnsi="Times New Roman" w:cs="Times New Roman"/>
        </w:rPr>
        <w:t>я</w:t>
      </w:r>
      <w:r w:rsidR="00AA2B1D" w:rsidRPr="00BF4EBA">
        <w:rPr>
          <w:rFonts w:ascii="Times New Roman" w:hAnsi="Times New Roman" w:cs="Times New Roman"/>
        </w:rPr>
        <w:t xml:space="preserve">то </w:t>
      </w:r>
      <w:r w:rsidRPr="00BF4EBA">
        <w:rPr>
          <w:rFonts w:ascii="Times New Roman" w:hAnsi="Times New Roman" w:cs="Times New Roman"/>
        </w:rPr>
        <w:t xml:space="preserve">да  поддържа достъпа до </w:t>
      </w:r>
      <w:r w:rsidR="00AA2B1D" w:rsidRPr="00AA2B1D">
        <w:rPr>
          <w:rFonts w:ascii="Times New Roman" w:eastAsia="Calibri" w:hAnsi="Times New Roman"/>
          <w:szCs w:val="24"/>
        </w:rPr>
        <w:t>електронн</w:t>
      </w:r>
      <w:r w:rsidR="00AA2B1D">
        <w:rPr>
          <w:rFonts w:eastAsia="Calibri"/>
        </w:rPr>
        <w:t>ат</w:t>
      </w:r>
      <w:r w:rsidR="00AA2B1D" w:rsidRPr="00AA2B1D">
        <w:rPr>
          <w:rFonts w:ascii="Times New Roman" w:eastAsia="Calibri" w:hAnsi="Times New Roman"/>
          <w:szCs w:val="24"/>
        </w:rPr>
        <w:t>а платформа за управление на учебния процес и провеждане на иновативни електронни, уеб-базирани и дистанционни обучения</w:t>
      </w:r>
      <w:bookmarkEnd w:id="27"/>
      <w:bookmarkEnd w:id="28"/>
      <w:bookmarkEnd w:id="29"/>
      <w:bookmarkEnd w:id="30"/>
      <w:bookmarkEnd w:id="31"/>
      <w:bookmarkEnd w:id="32"/>
      <w:bookmarkEnd w:id="33"/>
    </w:p>
    <w:p w14:paraId="51D8AE4C" w14:textId="77777777" w:rsidR="00000433" w:rsidRDefault="00000433" w:rsidP="00BF4EBA">
      <w:pPr>
        <w:ind w:firstLine="450"/>
        <w:jc w:val="both"/>
      </w:pPr>
    </w:p>
    <w:p w14:paraId="167C2BAA" w14:textId="02DE6628" w:rsidR="00BF4EBA" w:rsidRPr="00BF4EBA" w:rsidRDefault="00BF4EBA" w:rsidP="00BF4EBA">
      <w:pPr>
        <w:ind w:firstLine="450"/>
        <w:jc w:val="both"/>
      </w:pPr>
      <w:r w:rsidRPr="00BF4EBA">
        <w:t xml:space="preserve">Избраният Изпълнител трябва да достави и въведе в експлоатация </w:t>
      </w:r>
      <w:r w:rsidR="00AA2B1D">
        <w:t>оборудване</w:t>
      </w:r>
      <w:r w:rsidRPr="00BF4EBA">
        <w:t xml:space="preserve">, </w:t>
      </w:r>
      <w:r w:rsidR="00AA2B1D" w:rsidRPr="00BF4EBA">
        <w:t>необходим</w:t>
      </w:r>
      <w:r w:rsidR="00AA2B1D">
        <w:t>о</w:t>
      </w:r>
      <w:r w:rsidR="00AA2B1D" w:rsidRPr="00BF4EBA">
        <w:t xml:space="preserve"> </w:t>
      </w:r>
      <w:r w:rsidRPr="00BF4EBA">
        <w:t xml:space="preserve">за адекватната реализация на електронната платформа за управление на учебния процес и провеждане на иновативни електронни, уеб-базирани и дистанционни обучения. </w:t>
      </w:r>
    </w:p>
    <w:p w14:paraId="34A3CF88" w14:textId="44AE2D33" w:rsidR="00BF4EBA" w:rsidRPr="00BF4EBA" w:rsidRDefault="00BF4EBA" w:rsidP="00BF4EBA">
      <w:pPr>
        <w:ind w:firstLine="450"/>
        <w:jc w:val="both"/>
      </w:pPr>
      <w:r w:rsidRPr="00BF4EBA">
        <w:t xml:space="preserve">Участниците в настоящата обществена поръчка се очаква да представят подробна спецификация на </w:t>
      </w:r>
      <w:r w:rsidR="00AA2B1D">
        <w:t>предлаганото</w:t>
      </w:r>
      <w:r w:rsidR="00AA2B1D" w:rsidRPr="00BF4EBA">
        <w:t xml:space="preserve"> </w:t>
      </w:r>
      <w:r w:rsidRPr="00BF4EBA">
        <w:t xml:space="preserve">за доставка оборудване, като конфигурацията на всеки един </w:t>
      </w:r>
      <w:r w:rsidR="00AA2B1D">
        <w:t>елемент на предлаганото оборудване</w:t>
      </w:r>
      <w:r w:rsidRPr="00BF4EBA">
        <w:t xml:space="preserve"> трябва да покрива минималните технически изисквания, описани в Приложение ТС1)</w:t>
      </w:r>
      <w:r w:rsidR="00000433">
        <w:t>.</w:t>
      </w:r>
      <w:r w:rsidRPr="00BF4EBA">
        <w:t xml:space="preserve"> </w:t>
      </w:r>
    </w:p>
    <w:p w14:paraId="0B5D65C8" w14:textId="77777777" w:rsidR="00BF4EBA" w:rsidRPr="00BF4EBA" w:rsidRDefault="00BF4EBA" w:rsidP="00BF4EBA">
      <w:pPr>
        <w:ind w:firstLine="450"/>
        <w:jc w:val="both"/>
      </w:pPr>
      <w:r w:rsidRPr="00BF4EBA">
        <w:t>Резултатите от дейността се представят с доклад, придружен от Приемо-предавателен протокол за оборудването и Протокол за въвеждане в експлоатация.</w:t>
      </w:r>
    </w:p>
    <w:p w14:paraId="1916672D" w14:textId="77777777" w:rsidR="00BF4EBA" w:rsidRPr="00BF4EBA" w:rsidRDefault="00BF4EBA" w:rsidP="00BF4EBA">
      <w:pPr>
        <w:ind w:firstLine="426"/>
        <w:jc w:val="both"/>
      </w:pPr>
      <w:r w:rsidRPr="00BF4EBA">
        <w:t>Очакван резултат от изпълнението:</w:t>
      </w:r>
    </w:p>
    <w:p w14:paraId="0B80E1B2" w14:textId="77777777" w:rsidR="00BF4EBA" w:rsidRPr="00BF4EBA" w:rsidRDefault="00BF4EBA" w:rsidP="00AF7157">
      <w:pPr>
        <w:numPr>
          <w:ilvl w:val="0"/>
          <w:numId w:val="12"/>
        </w:numPr>
        <w:tabs>
          <w:tab w:val="num" w:pos="709"/>
        </w:tabs>
        <w:spacing w:before="120"/>
        <w:ind w:left="709" w:hanging="283"/>
        <w:jc w:val="both"/>
        <w:rPr>
          <w:rFonts w:eastAsia="Calibri"/>
        </w:rPr>
      </w:pPr>
      <w:r w:rsidRPr="00BF4EBA">
        <w:rPr>
          <w:rFonts w:eastAsia="Calibri"/>
        </w:rPr>
        <w:t>Закупена и инсталирана хардуерна платформа за виртуализация.</w:t>
      </w:r>
    </w:p>
    <w:p w14:paraId="6157986F" w14:textId="77777777" w:rsidR="00BF4EBA" w:rsidRPr="00BF4EBA" w:rsidRDefault="00BF4EBA" w:rsidP="00BF4EBA">
      <w:pPr>
        <w:ind w:firstLine="426"/>
      </w:pPr>
    </w:p>
    <w:p w14:paraId="787FC0E6" w14:textId="77777777" w:rsidR="00BF4EBA" w:rsidRPr="00BF4EBA" w:rsidRDefault="00BF4EBA" w:rsidP="00AF7157">
      <w:pPr>
        <w:pStyle w:val="Heading2"/>
        <w:keepLines w:val="0"/>
        <w:numPr>
          <w:ilvl w:val="1"/>
          <w:numId w:val="20"/>
        </w:numPr>
        <w:spacing w:before="120"/>
        <w:jc w:val="both"/>
        <w:rPr>
          <w:rFonts w:ascii="Times New Roman" w:hAnsi="Times New Roman" w:cs="Times New Roman"/>
        </w:rPr>
      </w:pPr>
      <w:bookmarkStart w:id="34" w:name="_Toc381038883"/>
      <w:bookmarkStart w:id="35" w:name="_Toc381039479"/>
      <w:bookmarkStart w:id="36" w:name="_Toc381039552"/>
      <w:bookmarkStart w:id="37" w:name="_Toc381043096"/>
      <w:bookmarkStart w:id="38" w:name="_Toc386965144"/>
      <w:bookmarkStart w:id="39" w:name="_Toc386965521"/>
      <w:bookmarkStart w:id="40" w:name="_Toc266289435"/>
      <w:r w:rsidRPr="00BF4EBA">
        <w:rPr>
          <w:rFonts w:ascii="Times New Roman" w:hAnsi="Times New Roman" w:cs="Times New Roman"/>
        </w:rPr>
        <w:t>Доставка и инсталиране на софтуер за виртуализация и управление на хардуерната платформа</w:t>
      </w:r>
      <w:bookmarkEnd w:id="34"/>
      <w:bookmarkEnd w:id="35"/>
      <w:bookmarkEnd w:id="36"/>
      <w:bookmarkEnd w:id="37"/>
      <w:bookmarkEnd w:id="38"/>
      <w:bookmarkEnd w:id="39"/>
      <w:bookmarkEnd w:id="40"/>
    </w:p>
    <w:p w14:paraId="58182AF1" w14:textId="77777777" w:rsidR="00BF4EBA" w:rsidRPr="00BF4EBA" w:rsidRDefault="00BF4EBA" w:rsidP="00000433">
      <w:pPr>
        <w:ind w:firstLine="426"/>
        <w:jc w:val="both"/>
      </w:pPr>
      <w:r w:rsidRPr="00BF4EBA">
        <w:t xml:space="preserve">Виртуализацията ще намали необходимия ресурс като хардуерни машини, ще увеличи надеждността и </w:t>
      </w:r>
      <w:proofErr w:type="spellStart"/>
      <w:r w:rsidRPr="00BF4EBA">
        <w:t>uptime</w:t>
      </w:r>
      <w:proofErr w:type="spellEnd"/>
      <w:r w:rsidRPr="00BF4EBA">
        <w:t xml:space="preserve"> на системата, ще улесни административните задачи по поддръжка на операционните системи като </w:t>
      </w:r>
      <w:proofErr w:type="spellStart"/>
      <w:r w:rsidRPr="00BF4EBA">
        <w:t>бекъп</w:t>
      </w:r>
      <w:proofErr w:type="spellEnd"/>
      <w:r w:rsidRPr="00BF4EBA">
        <w:t xml:space="preserve"> и възстановяване, </w:t>
      </w:r>
      <w:proofErr w:type="spellStart"/>
      <w:r w:rsidRPr="00BF4EBA">
        <w:t>пач</w:t>
      </w:r>
      <w:proofErr w:type="spellEnd"/>
      <w:r w:rsidRPr="00BF4EBA">
        <w:t xml:space="preserve"> и ъпдейт/ъпгрейд.</w:t>
      </w:r>
    </w:p>
    <w:p w14:paraId="32345544" w14:textId="77777777" w:rsidR="00BF4EBA" w:rsidRPr="00BF4EBA" w:rsidRDefault="00BF4EBA" w:rsidP="00000433">
      <w:pPr>
        <w:ind w:firstLine="450"/>
        <w:jc w:val="both"/>
      </w:pPr>
      <w:r w:rsidRPr="00BF4EBA">
        <w:t xml:space="preserve">Участниците в настоящата обществена поръчка се очаква да представят подробна спецификация на предлагания </w:t>
      </w:r>
      <w:r w:rsidRPr="00BF4EBA">
        <w:rPr>
          <w:rFonts w:eastAsia="Calibri"/>
        </w:rPr>
        <w:t xml:space="preserve">софтуер за виртуализация и управление на хардуерната платформа, </w:t>
      </w:r>
      <w:r w:rsidRPr="00BF4EBA">
        <w:t>описана в Приложение ТС1.</w:t>
      </w:r>
    </w:p>
    <w:p w14:paraId="1CB7D2E5" w14:textId="77777777" w:rsidR="00BF4EBA" w:rsidRPr="00BF4EBA" w:rsidRDefault="00BF4EBA" w:rsidP="00000433">
      <w:pPr>
        <w:ind w:firstLine="450"/>
        <w:jc w:val="both"/>
        <w:rPr>
          <w:highlight w:val="yellow"/>
        </w:rPr>
      </w:pPr>
      <w:r w:rsidRPr="00BF4EBA">
        <w:rPr>
          <w:highlight w:val="yellow"/>
        </w:rPr>
        <w:t xml:space="preserve"> </w:t>
      </w:r>
    </w:p>
    <w:p w14:paraId="53224FB7" w14:textId="77777777" w:rsidR="00BF4EBA" w:rsidRPr="00BF4EBA" w:rsidRDefault="00BF4EBA" w:rsidP="00000433">
      <w:pPr>
        <w:ind w:firstLine="450"/>
        <w:jc w:val="both"/>
      </w:pPr>
      <w:r w:rsidRPr="00BF4EBA">
        <w:t>Резултатите от дейността се представят с доклад, придружен от Приемо-предавателен протокол за доставка и Протокол за инсталация и въвеждане в експлоатация.</w:t>
      </w:r>
    </w:p>
    <w:p w14:paraId="665905FB" w14:textId="77777777" w:rsidR="00BF4EBA" w:rsidRPr="00BF4EBA" w:rsidRDefault="00BF4EBA" w:rsidP="00BF4EBA">
      <w:pPr>
        <w:ind w:firstLine="426"/>
      </w:pPr>
      <w:r w:rsidRPr="00BF4EBA">
        <w:t>Очакван резултат от изпълнението:</w:t>
      </w:r>
    </w:p>
    <w:p w14:paraId="00475A9C" w14:textId="77777777" w:rsidR="00BF4EBA" w:rsidRPr="00BF4EBA" w:rsidRDefault="00BF4EBA" w:rsidP="00AF7157">
      <w:pPr>
        <w:numPr>
          <w:ilvl w:val="0"/>
          <w:numId w:val="12"/>
        </w:numPr>
        <w:tabs>
          <w:tab w:val="num" w:pos="709"/>
        </w:tabs>
        <w:spacing w:before="120"/>
        <w:ind w:left="709" w:hanging="283"/>
        <w:jc w:val="both"/>
        <w:rPr>
          <w:rFonts w:eastAsia="Calibri"/>
        </w:rPr>
      </w:pPr>
      <w:r w:rsidRPr="00BF4EBA">
        <w:rPr>
          <w:rFonts w:eastAsia="Calibri"/>
        </w:rPr>
        <w:t>Доставен и инсталиран софтуер за виртуализация и управление на хардуерната платформа.</w:t>
      </w:r>
    </w:p>
    <w:p w14:paraId="5CA91C78" w14:textId="77777777" w:rsidR="00BF4EBA" w:rsidRPr="00BF4EBA" w:rsidRDefault="00BF4EBA" w:rsidP="00BF4EBA">
      <w:pPr>
        <w:ind w:firstLine="426"/>
      </w:pPr>
    </w:p>
    <w:p w14:paraId="5EB61463" w14:textId="77777777" w:rsidR="00BF4EBA" w:rsidRPr="00BF4EBA" w:rsidRDefault="00BF4EBA" w:rsidP="00AF7157">
      <w:pPr>
        <w:pStyle w:val="Heading2"/>
        <w:numPr>
          <w:ilvl w:val="0"/>
          <w:numId w:val="35"/>
        </w:numPr>
      </w:pPr>
      <w:bookmarkStart w:id="41" w:name="_Toc381043097"/>
      <w:bookmarkStart w:id="42" w:name="_Toc386965145"/>
      <w:bookmarkStart w:id="43" w:name="_Toc386965522"/>
      <w:bookmarkStart w:id="44" w:name="_Toc266289436"/>
      <w:bookmarkStart w:id="45" w:name="_Toc381038893"/>
      <w:bookmarkStart w:id="46" w:name="_Toc381039489"/>
      <w:bookmarkStart w:id="47" w:name="_Toc381039562"/>
      <w:r w:rsidRPr="00BF4EBA">
        <w:lastRenderedPageBreak/>
        <w:t>Етапи</w:t>
      </w:r>
      <w:bookmarkEnd w:id="41"/>
      <w:bookmarkEnd w:id="42"/>
      <w:bookmarkEnd w:id="43"/>
      <w:bookmarkEnd w:id="44"/>
      <w:r w:rsidRPr="00BF4EBA">
        <w:t xml:space="preserve"> </w:t>
      </w:r>
      <w:bookmarkEnd w:id="45"/>
      <w:bookmarkEnd w:id="46"/>
      <w:bookmarkEnd w:id="47"/>
    </w:p>
    <w:p w14:paraId="0A391048" w14:textId="77777777" w:rsidR="00BF4EBA" w:rsidRPr="00BF4EBA" w:rsidRDefault="00BF4EBA" w:rsidP="00BF4EBA">
      <w:pPr>
        <w:ind w:firstLine="426"/>
      </w:pPr>
      <w:r w:rsidRPr="00BF4EBA">
        <w:t>Участникът трябва да извърши комплексна доставка на хардуерна платформа за виртуализация, и софтуер за нейното управление (оборудване по-долу) и да организира гаранционното обслужване в съответствие с определените в настоящото техническо задание изисквания.</w:t>
      </w:r>
    </w:p>
    <w:p w14:paraId="4A32465D" w14:textId="77777777" w:rsidR="00BF4EBA" w:rsidRPr="00BF4EBA" w:rsidRDefault="00BF4EBA" w:rsidP="00BF4EBA">
      <w:pPr>
        <w:ind w:firstLine="426"/>
      </w:pPr>
      <w:r w:rsidRPr="00BF4EBA">
        <w:t>Доставката трябва да се извърши най-малко на следните етапи:</w:t>
      </w:r>
    </w:p>
    <w:p w14:paraId="05C23E12" w14:textId="77777777" w:rsidR="00BF4EBA" w:rsidRPr="00BF4EBA" w:rsidRDefault="00BF4EBA" w:rsidP="00AF7157">
      <w:pPr>
        <w:pStyle w:val="ListParagraph"/>
        <w:numPr>
          <w:ilvl w:val="0"/>
          <w:numId w:val="22"/>
        </w:numPr>
        <w:spacing w:before="120"/>
        <w:ind w:left="709" w:hanging="283"/>
        <w:contextualSpacing w:val="0"/>
        <w:jc w:val="both"/>
      </w:pPr>
      <w:r w:rsidRPr="00BF4EBA">
        <w:t>Доставка;</w:t>
      </w:r>
    </w:p>
    <w:p w14:paraId="07D3FBAE" w14:textId="77777777" w:rsidR="00BF4EBA" w:rsidRPr="00BF4EBA" w:rsidRDefault="00BF4EBA" w:rsidP="00AF7157">
      <w:pPr>
        <w:pStyle w:val="ListParagraph"/>
        <w:numPr>
          <w:ilvl w:val="0"/>
          <w:numId w:val="22"/>
        </w:numPr>
        <w:spacing w:before="120"/>
        <w:ind w:left="709" w:hanging="283"/>
        <w:contextualSpacing w:val="0"/>
        <w:jc w:val="both"/>
      </w:pPr>
      <w:r w:rsidRPr="00BF4EBA">
        <w:t>Инсталиране;</w:t>
      </w:r>
    </w:p>
    <w:p w14:paraId="6A6AEC18" w14:textId="77777777" w:rsidR="00BF4EBA" w:rsidRPr="00BF4EBA" w:rsidRDefault="00BF4EBA" w:rsidP="00AF7157">
      <w:pPr>
        <w:pStyle w:val="ListParagraph"/>
        <w:numPr>
          <w:ilvl w:val="0"/>
          <w:numId w:val="22"/>
        </w:numPr>
        <w:spacing w:before="120"/>
        <w:ind w:left="709" w:hanging="283"/>
        <w:contextualSpacing w:val="0"/>
        <w:jc w:val="both"/>
      </w:pPr>
      <w:r w:rsidRPr="00BF4EBA">
        <w:t>Конфигуриране;</w:t>
      </w:r>
    </w:p>
    <w:p w14:paraId="22F0432A" w14:textId="77777777" w:rsidR="00BF4EBA" w:rsidRPr="00BF4EBA" w:rsidRDefault="00BF4EBA" w:rsidP="00AF7157">
      <w:pPr>
        <w:pStyle w:val="ListParagraph"/>
        <w:numPr>
          <w:ilvl w:val="0"/>
          <w:numId w:val="22"/>
        </w:numPr>
        <w:spacing w:before="120"/>
        <w:ind w:left="709" w:hanging="283"/>
        <w:contextualSpacing w:val="0"/>
        <w:jc w:val="both"/>
      </w:pPr>
      <w:r w:rsidRPr="00BF4EBA">
        <w:t>Тестване;</w:t>
      </w:r>
    </w:p>
    <w:p w14:paraId="764D720E" w14:textId="77777777" w:rsidR="00BF4EBA" w:rsidRPr="00BF4EBA" w:rsidRDefault="00BF4EBA" w:rsidP="00AF7157">
      <w:pPr>
        <w:pStyle w:val="ListParagraph"/>
        <w:numPr>
          <w:ilvl w:val="0"/>
          <w:numId w:val="22"/>
        </w:numPr>
        <w:spacing w:before="120"/>
        <w:ind w:left="709" w:hanging="283"/>
        <w:contextualSpacing w:val="0"/>
        <w:jc w:val="both"/>
      </w:pPr>
      <w:r w:rsidRPr="00BF4EBA">
        <w:t>Предаване в работна експлоатация;</w:t>
      </w:r>
    </w:p>
    <w:p w14:paraId="141D6E16" w14:textId="77777777" w:rsidR="00BF4EBA" w:rsidRPr="00BF4EBA" w:rsidRDefault="00BF4EBA" w:rsidP="00AF7157">
      <w:pPr>
        <w:pStyle w:val="ListParagraph"/>
        <w:numPr>
          <w:ilvl w:val="0"/>
          <w:numId w:val="22"/>
        </w:numPr>
        <w:spacing w:before="120"/>
        <w:ind w:left="709" w:hanging="283"/>
        <w:contextualSpacing w:val="0"/>
        <w:jc w:val="both"/>
      </w:pPr>
      <w:r w:rsidRPr="00BF4EBA">
        <w:t>Обучение;</w:t>
      </w:r>
    </w:p>
    <w:p w14:paraId="48150427" w14:textId="77777777" w:rsidR="00BF4EBA" w:rsidRPr="00BF4EBA" w:rsidRDefault="00BF4EBA" w:rsidP="00AF7157">
      <w:pPr>
        <w:pStyle w:val="ListParagraph"/>
        <w:numPr>
          <w:ilvl w:val="0"/>
          <w:numId w:val="22"/>
        </w:numPr>
        <w:spacing w:before="120"/>
        <w:ind w:left="709" w:hanging="283"/>
        <w:contextualSpacing w:val="0"/>
        <w:jc w:val="both"/>
      </w:pPr>
      <w:r w:rsidRPr="00BF4EBA">
        <w:t>Гаранционна поддръжка.</w:t>
      </w:r>
    </w:p>
    <w:p w14:paraId="694D34EA" w14:textId="77777777" w:rsidR="00BF4EBA" w:rsidRPr="00BF4EBA" w:rsidRDefault="00BF4EBA" w:rsidP="00BF4EBA">
      <w:pPr>
        <w:ind w:firstLine="426"/>
      </w:pPr>
    </w:p>
    <w:p w14:paraId="51F3F2A9" w14:textId="77777777" w:rsidR="00BF4EBA" w:rsidRPr="00BF4EBA" w:rsidRDefault="00BF4EBA" w:rsidP="00AF7157">
      <w:pPr>
        <w:pStyle w:val="Heading2"/>
        <w:keepLines w:val="0"/>
        <w:numPr>
          <w:ilvl w:val="0"/>
          <w:numId w:val="23"/>
        </w:numPr>
        <w:tabs>
          <w:tab w:val="left" w:pos="567"/>
        </w:tabs>
        <w:autoSpaceDE w:val="0"/>
        <w:autoSpaceDN w:val="0"/>
        <w:spacing w:before="120"/>
        <w:ind w:left="567" w:hanging="567"/>
        <w:jc w:val="both"/>
        <w:rPr>
          <w:rFonts w:ascii="Times New Roman" w:hAnsi="Times New Roman" w:cs="Times New Roman"/>
          <w:iCs/>
        </w:rPr>
      </w:pPr>
      <w:bookmarkStart w:id="48" w:name="_Toc336504978"/>
      <w:bookmarkStart w:id="49" w:name="_Toc381043098"/>
      <w:bookmarkStart w:id="50" w:name="_Toc386965146"/>
      <w:bookmarkStart w:id="51" w:name="_Toc386965523"/>
      <w:bookmarkStart w:id="52" w:name="_Toc266289437"/>
      <w:r w:rsidRPr="00BF4EBA">
        <w:rPr>
          <w:rFonts w:ascii="Times New Roman" w:hAnsi="Times New Roman" w:cs="Times New Roman"/>
          <w:iCs/>
        </w:rPr>
        <w:t>Приемане и предаване на работата</w:t>
      </w:r>
      <w:bookmarkEnd w:id="48"/>
      <w:bookmarkEnd w:id="49"/>
      <w:bookmarkEnd w:id="50"/>
      <w:bookmarkEnd w:id="51"/>
      <w:bookmarkEnd w:id="52"/>
    </w:p>
    <w:p w14:paraId="16B12EB0" w14:textId="77777777" w:rsidR="00BF4EBA" w:rsidRPr="00BF4EBA" w:rsidRDefault="00BF4EBA" w:rsidP="00BF4EBA">
      <w:pPr>
        <w:ind w:firstLine="426"/>
      </w:pPr>
      <w:r w:rsidRPr="00BF4EBA">
        <w:t>За извършената доставка, въвеждане в експлоатация и обучение за работа с оборудването се съставят следните приемателно-предавателни протоколи:</w:t>
      </w:r>
    </w:p>
    <w:p w14:paraId="2658E1FE" w14:textId="77777777" w:rsidR="00BF4EBA" w:rsidRPr="00BF4EBA" w:rsidRDefault="00BF4EBA" w:rsidP="00AF7157">
      <w:pPr>
        <w:numPr>
          <w:ilvl w:val="0"/>
          <w:numId w:val="24"/>
        </w:numPr>
        <w:spacing w:before="120"/>
        <w:ind w:left="709" w:hanging="283"/>
        <w:jc w:val="both"/>
      </w:pPr>
      <w:r w:rsidRPr="00BF4EBA">
        <w:t>Първият приемателно-предавателен протокол е констативен, че доставката е извършена в срок и съгласно изискванията към оборудването, описани по-горе;</w:t>
      </w:r>
    </w:p>
    <w:p w14:paraId="3AE28EC3" w14:textId="77777777" w:rsidR="00BF4EBA" w:rsidRPr="00BF4EBA" w:rsidRDefault="00BF4EBA" w:rsidP="00AF7157">
      <w:pPr>
        <w:numPr>
          <w:ilvl w:val="0"/>
          <w:numId w:val="24"/>
        </w:numPr>
        <w:spacing w:before="120"/>
        <w:ind w:left="709" w:hanging="283"/>
        <w:jc w:val="both"/>
      </w:pPr>
      <w:r w:rsidRPr="00BF4EBA">
        <w:t xml:space="preserve">Вторият приемателно-предавателен протокол е констативен, че оборудването е въведено в експлоатация и е извършено съответното обучение за работа с него. </w:t>
      </w:r>
    </w:p>
    <w:p w14:paraId="208B9F3D" w14:textId="77777777" w:rsidR="00BF4EBA" w:rsidRPr="00BF4EBA" w:rsidRDefault="00BF4EBA" w:rsidP="00AF7157">
      <w:pPr>
        <w:numPr>
          <w:ilvl w:val="0"/>
          <w:numId w:val="24"/>
        </w:numPr>
        <w:spacing w:before="120"/>
        <w:ind w:left="709" w:hanging="283"/>
        <w:jc w:val="both"/>
      </w:pPr>
      <w:r w:rsidRPr="00BF4EBA">
        <w:t xml:space="preserve">Третия приемателно-предавателен протокол е окончателен, с който се приема доставката без забележки. </w:t>
      </w:r>
    </w:p>
    <w:p w14:paraId="2768BD2E" w14:textId="77777777" w:rsidR="00BF4EBA" w:rsidRPr="00BF4EBA" w:rsidRDefault="00BF4EBA" w:rsidP="00BF4EBA">
      <w:pPr>
        <w:ind w:firstLine="426"/>
      </w:pPr>
      <w:r w:rsidRPr="00BF4EBA">
        <w:t>Приемателно-предавателните протоколи се подписват в 3 екземпляра (един за избрания Участник и два за Възложителя). </w:t>
      </w:r>
    </w:p>
    <w:p w14:paraId="782E5544" w14:textId="77777777" w:rsidR="00BF4EBA" w:rsidRPr="00BF4EBA" w:rsidRDefault="00BF4EBA" w:rsidP="00BF4EBA">
      <w:pPr>
        <w:ind w:firstLine="426"/>
      </w:pPr>
      <w:r w:rsidRPr="00BF4EBA">
        <w:t>В периодите между първия, втория и окончателния протокол Възложителят има право да иска поправки на извършените дейности.</w:t>
      </w:r>
    </w:p>
    <w:p w14:paraId="2489FD74" w14:textId="77777777" w:rsidR="00BF4EBA" w:rsidRPr="00BF4EBA" w:rsidRDefault="00BF4EBA" w:rsidP="00BF4EBA">
      <w:pPr>
        <w:ind w:firstLine="426"/>
      </w:pPr>
    </w:p>
    <w:p w14:paraId="5CCD0668" w14:textId="77777777" w:rsidR="00BF4EBA" w:rsidRPr="00CC7B69" w:rsidRDefault="00BF4EBA" w:rsidP="00AF7157">
      <w:pPr>
        <w:pStyle w:val="Heading2"/>
        <w:keepLines w:val="0"/>
        <w:numPr>
          <w:ilvl w:val="0"/>
          <w:numId w:val="23"/>
        </w:numPr>
        <w:tabs>
          <w:tab w:val="left" w:pos="567"/>
        </w:tabs>
        <w:autoSpaceDE w:val="0"/>
        <w:autoSpaceDN w:val="0"/>
        <w:spacing w:before="120"/>
        <w:ind w:left="567" w:hanging="567"/>
        <w:jc w:val="both"/>
        <w:rPr>
          <w:rFonts w:ascii="Times New Roman" w:hAnsi="Times New Roman" w:cs="Times New Roman"/>
          <w:b w:val="0"/>
          <w:iCs/>
        </w:rPr>
      </w:pPr>
      <w:bookmarkStart w:id="53" w:name="_Toc336504979"/>
      <w:bookmarkStart w:id="54" w:name="_Toc381043099"/>
      <w:bookmarkStart w:id="55" w:name="_Toc386965147"/>
      <w:bookmarkStart w:id="56" w:name="_Toc386965524"/>
      <w:bookmarkStart w:id="57" w:name="_Toc266289438"/>
      <w:r w:rsidRPr="00CC7B69">
        <w:rPr>
          <w:rFonts w:ascii="Times New Roman" w:hAnsi="Times New Roman" w:cs="Times New Roman"/>
          <w:iCs/>
        </w:rPr>
        <w:t>Изисквания към оборудването</w:t>
      </w:r>
      <w:bookmarkEnd w:id="53"/>
      <w:bookmarkEnd w:id="54"/>
      <w:bookmarkEnd w:id="55"/>
      <w:bookmarkEnd w:id="56"/>
      <w:bookmarkEnd w:id="57"/>
    </w:p>
    <w:p w14:paraId="407BB79F" w14:textId="77777777" w:rsidR="00BF4EBA" w:rsidRPr="005631C3" w:rsidRDefault="00BF4EBA" w:rsidP="00000433">
      <w:pPr>
        <w:ind w:firstLine="426"/>
        <w:jc w:val="both"/>
      </w:pPr>
      <w:r w:rsidRPr="005631C3">
        <w:t>Предлаганото оборудване трябва да бъде от производители, сертифицирани по стандарта за качество ISO 9001:2008 или еквивалентен в обхвата на предмета на поръчката.</w:t>
      </w:r>
    </w:p>
    <w:p w14:paraId="6540218E" w14:textId="77777777" w:rsidR="00BF4EBA" w:rsidRPr="005631C3" w:rsidRDefault="00BF4EBA" w:rsidP="00000433">
      <w:pPr>
        <w:ind w:firstLine="426"/>
        <w:jc w:val="both"/>
      </w:pPr>
      <w:r w:rsidRPr="005631C3">
        <w:t xml:space="preserve">Предлаганото оборудване трябва да притежава сертификат “СЕ </w:t>
      </w:r>
      <w:proofErr w:type="spellStart"/>
      <w:r w:rsidRPr="005631C3">
        <w:t>Mark</w:t>
      </w:r>
      <w:proofErr w:type="spellEnd"/>
      <w:r w:rsidRPr="005631C3">
        <w:t>” или еквивалентен, което се декларира от участника.</w:t>
      </w:r>
    </w:p>
    <w:p w14:paraId="685439C6" w14:textId="26993EF8" w:rsidR="00BF4EBA" w:rsidRPr="005631C3" w:rsidRDefault="00BF4EBA" w:rsidP="00000433">
      <w:pPr>
        <w:ind w:firstLine="426"/>
        <w:jc w:val="both"/>
      </w:pPr>
      <w:r w:rsidRPr="005631C3">
        <w:t>Участникът трябва да докаже, че има право да продава предлаганите продукти на територията на България. Доказателството трябва да е договор с производителя/ лицензионен договор/</w:t>
      </w:r>
      <w:proofErr w:type="spellStart"/>
      <w:r w:rsidRPr="005631C3">
        <w:t>оторизационно</w:t>
      </w:r>
      <w:proofErr w:type="spellEnd"/>
      <w:r w:rsidRPr="005631C3">
        <w:t xml:space="preserve"> писмо от производителя, удостоверяващ това право.</w:t>
      </w:r>
    </w:p>
    <w:p w14:paraId="02393E12" w14:textId="77777777" w:rsidR="00BF4EBA" w:rsidRPr="00BF4EBA" w:rsidRDefault="00BF4EBA" w:rsidP="00000433">
      <w:pPr>
        <w:ind w:firstLine="426"/>
        <w:jc w:val="both"/>
      </w:pPr>
      <w:r w:rsidRPr="005631C3">
        <w:t>Участникът трябва да декларира, че предлаганото оборудване е ново, неупотребявано, нерециклирано и е в производствената листа на производителя към момента на подаване на предложението. Доставяното оборудване трябва да бъде в оригинални фабрични опаковки.</w:t>
      </w:r>
    </w:p>
    <w:p w14:paraId="690EE38C" w14:textId="697D4CE7" w:rsidR="00BF4EBA" w:rsidRPr="00BF4EBA" w:rsidRDefault="00BF4EBA" w:rsidP="00000433">
      <w:pPr>
        <w:ind w:firstLine="426"/>
        <w:jc w:val="both"/>
      </w:pPr>
      <w:r w:rsidRPr="00BF4EBA">
        <w:lastRenderedPageBreak/>
        <w:t>Всички устройства и техните компоненти трябва да бъдат напълно съвместими едни с други и да функционират като цяло</w:t>
      </w:r>
      <w:r w:rsidR="00CC7B69">
        <w:t>.</w:t>
      </w:r>
    </w:p>
    <w:p w14:paraId="7B3C55BD" w14:textId="77777777" w:rsidR="00BF4EBA" w:rsidRPr="00BF4EBA" w:rsidRDefault="00BF4EBA" w:rsidP="00CC7B69">
      <w:pPr>
        <w:ind w:firstLine="426"/>
        <w:jc w:val="both"/>
      </w:pPr>
      <w:r w:rsidRPr="00BF4EBA">
        <w:t>Захранването и кабелните накрайници на силовите кабели трябва да са предвидени за експлоатация в Р България.</w:t>
      </w:r>
    </w:p>
    <w:p w14:paraId="54B2295F" w14:textId="77777777" w:rsidR="00BF4EBA" w:rsidRPr="00BF4EBA" w:rsidRDefault="00BF4EBA" w:rsidP="00CC7B69">
      <w:pPr>
        <w:ind w:firstLine="426"/>
        <w:jc w:val="both"/>
      </w:pPr>
      <w:r w:rsidRPr="00BF4EBA">
        <w:t>Оборудването трябва да работи в диапазон на напрежението от 187V (220V-15%) до 242V (220V+10%) при 50Hz +/-0.5Hz в съответствие с действащите в България стандарти.</w:t>
      </w:r>
    </w:p>
    <w:p w14:paraId="51EA0923" w14:textId="77777777" w:rsidR="00BF4EBA" w:rsidRPr="00BF4EBA" w:rsidRDefault="00BF4EBA" w:rsidP="00000433">
      <w:pPr>
        <w:ind w:firstLine="426"/>
        <w:jc w:val="both"/>
      </w:pPr>
      <w:r w:rsidRPr="00BF4EBA">
        <w:t>Окомплектовката на оборудването трябва да включва всички аксесоари, необходими за правилната му работа като захранващи кабели, кабели за връзка, адаптери, захранващи адаптери и др.</w:t>
      </w:r>
    </w:p>
    <w:p w14:paraId="1A6D6593" w14:textId="77777777" w:rsidR="00BF4EBA" w:rsidRPr="00BF4EBA" w:rsidRDefault="00BF4EBA" w:rsidP="00000433">
      <w:pPr>
        <w:ind w:firstLine="426"/>
        <w:jc w:val="both"/>
      </w:pPr>
      <w:r w:rsidRPr="00BF4EBA">
        <w:t>Опаковането на доставките трябва да бъде съобразено с международните стандарти за транспортиране и да не допуска повреждане или унищожаване на стоката.</w:t>
      </w:r>
    </w:p>
    <w:p w14:paraId="71DE746B" w14:textId="77777777" w:rsidR="00BF4EBA" w:rsidRPr="00BF4EBA" w:rsidRDefault="00BF4EBA" w:rsidP="00000433">
      <w:pPr>
        <w:ind w:firstLine="426"/>
        <w:jc w:val="both"/>
      </w:pPr>
      <w:r w:rsidRPr="00BF4EBA">
        <w:t>Всички разходи: за опаковка, доставка, транспортни и други разходи, данъци, такси, мита и т.н., са за сметка на Участника.</w:t>
      </w:r>
    </w:p>
    <w:p w14:paraId="7E2519AA" w14:textId="77777777" w:rsidR="00BF4EBA" w:rsidRPr="00BF4EBA" w:rsidRDefault="00BF4EBA" w:rsidP="00000433">
      <w:pPr>
        <w:ind w:firstLine="426"/>
        <w:jc w:val="both"/>
      </w:pPr>
      <w:r w:rsidRPr="00BF4EBA">
        <w:t>Възложителят ще допусне предоставяне на по-нова техника, покриваща или надвишаваща минималните изисквания, при излизане от продуктовата гама на дадения производител на отделни компоненти, модули и др. каталожни спецификации.</w:t>
      </w:r>
    </w:p>
    <w:p w14:paraId="70568511" w14:textId="77777777" w:rsidR="00BF4EBA" w:rsidRPr="00BF4EBA" w:rsidRDefault="00BF4EBA" w:rsidP="00000433">
      <w:pPr>
        <w:ind w:firstLine="426"/>
        <w:jc w:val="both"/>
      </w:pPr>
    </w:p>
    <w:p w14:paraId="423BD62F" w14:textId="77777777" w:rsidR="00BF4EBA" w:rsidRPr="00BF4EBA" w:rsidRDefault="00BF4EBA" w:rsidP="00AF7157">
      <w:pPr>
        <w:pStyle w:val="Heading2"/>
        <w:keepLines w:val="0"/>
        <w:numPr>
          <w:ilvl w:val="0"/>
          <w:numId w:val="23"/>
        </w:numPr>
        <w:tabs>
          <w:tab w:val="left" w:pos="567"/>
        </w:tabs>
        <w:autoSpaceDE w:val="0"/>
        <w:autoSpaceDN w:val="0"/>
        <w:spacing w:before="120"/>
        <w:ind w:left="567" w:hanging="567"/>
        <w:jc w:val="both"/>
        <w:rPr>
          <w:rFonts w:ascii="Times New Roman" w:hAnsi="Times New Roman" w:cs="Times New Roman"/>
          <w:iCs/>
        </w:rPr>
      </w:pPr>
      <w:bookmarkStart w:id="58" w:name="_Toc336504980"/>
      <w:bookmarkStart w:id="59" w:name="_Toc381043100"/>
      <w:bookmarkStart w:id="60" w:name="_Toc386965148"/>
      <w:bookmarkStart w:id="61" w:name="_Toc386965525"/>
      <w:bookmarkStart w:id="62" w:name="_Toc266289439"/>
      <w:r w:rsidRPr="00BF4EBA">
        <w:rPr>
          <w:rFonts w:ascii="Times New Roman" w:hAnsi="Times New Roman" w:cs="Times New Roman"/>
          <w:iCs/>
        </w:rPr>
        <w:t>Изисквания към гаранционната поддръжка</w:t>
      </w:r>
      <w:bookmarkEnd w:id="58"/>
      <w:bookmarkEnd w:id="59"/>
      <w:bookmarkEnd w:id="60"/>
      <w:bookmarkEnd w:id="61"/>
      <w:bookmarkEnd w:id="62"/>
    </w:p>
    <w:p w14:paraId="0C94B067" w14:textId="77777777" w:rsidR="00BF4EBA" w:rsidRPr="00BF4EBA" w:rsidRDefault="00BF4EBA" w:rsidP="00000433">
      <w:pPr>
        <w:ind w:firstLine="426"/>
        <w:jc w:val="both"/>
      </w:pPr>
      <w:r w:rsidRPr="00BF4EBA">
        <w:t xml:space="preserve">Участникът трябва да осигури гаранционно обслужване на място. </w:t>
      </w:r>
    </w:p>
    <w:p w14:paraId="3F402567" w14:textId="77777777" w:rsidR="00BF4EBA" w:rsidRPr="00BF4EBA" w:rsidRDefault="00BF4EBA" w:rsidP="00000433">
      <w:pPr>
        <w:ind w:firstLine="426"/>
        <w:jc w:val="both"/>
      </w:pPr>
      <w:r w:rsidRPr="00BF4EBA">
        <w:t>Гаранционният срок за всеки елемент трябва да е минимум 36 (тридесет и шест) месеца от датата на подписване на окончателния приемателно-предавателен протокол и включва:</w:t>
      </w:r>
    </w:p>
    <w:p w14:paraId="1AE7ACEC" w14:textId="77777777" w:rsidR="00BF4EBA" w:rsidRPr="00BF4EBA" w:rsidRDefault="00BF4EBA" w:rsidP="00AF7157">
      <w:pPr>
        <w:pStyle w:val="ListParagraph"/>
        <w:numPr>
          <w:ilvl w:val="0"/>
          <w:numId w:val="22"/>
        </w:numPr>
        <w:spacing w:before="120"/>
        <w:ind w:left="709" w:hanging="283"/>
        <w:contextualSpacing w:val="0"/>
        <w:jc w:val="both"/>
      </w:pPr>
      <w:r w:rsidRPr="00BF4EBA">
        <w:t>гаранционно обслужване и сервиз;</w:t>
      </w:r>
    </w:p>
    <w:p w14:paraId="44E19EAB" w14:textId="77777777" w:rsidR="00BF4EBA" w:rsidRPr="00BF4EBA" w:rsidRDefault="00BF4EBA" w:rsidP="00AF7157">
      <w:pPr>
        <w:pStyle w:val="ListParagraph"/>
        <w:numPr>
          <w:ilvl w:val="0"/>
          <w:numId w:val="22"/>
        </w:numPr>
        <w:spacing w:before="120"/>
        <w:ind w:left="709" w:hanging="283"/>
        <w:contextualSpacing w:val="0"/>
        <w:jc w:val="both"/>
      </w:pPr>
      <w:r w:rsidRPr="00BF4EBA">
        <w:t>извършване на качествено сервизно техническо поддържане и ремонт на доставената компютърна техника в съответствие с действащите стандарти;</w:t>
      </w:r>
    </w:p>
    <w:p w14:paraId="1E90E429" w14:textId="77777777" w:rsidR="00BF4EBA" w:rsidRPr="00BF4EBA" w:rsidRDefault="00BF4EBA" w:rsidP="00AF7157">
      <w:pPr>
        <w:pStyle w:val="ListParagraph"/>
        <w:numPr>
          <w:ilvl w:val="0"/>
          <w:numId w:val="22"/>
        </w:numPr>
        <w:spacing w:before="120"/>
        <w:ind w:left="709" w:hanging="283"/>
        <w:contextualSpacing w:val="0"/>
        <w:jc w:val="both"/>
      </w:pPr>
      <w:r w:rsidRPr="00BF4EBA">
        <w:t>отстраняване на възникналите при нормалната експлоатация повреди;</w:t>
      </w:r>
    </w:p>
    <w:p w14:paraId="378DAACC" w14:textId="77777777" w:rsidR="00BF4EBA" w:rsidRPr="00BF4EBA" w:rsidRDefault="00BF4EBA" w:rsidP="00AF7157">
      <w:pPr>
        <w:pStyle w:val="ListParagraph"/>
        <w:numPr>
          <w:ilvl w:val="0"/>
          <w:numId w:val="22"/>
        </w:numPr>
        <w:spacing w:before="120"/>
        <w:ind w:left="709" w:hanging="283"/>
        <w:contextualSpacing w:val="0"/>
        <w:jc w:val="both"/>
      </w:pPr>
      <w:r w:rsidRPr="00BF4EBA">
        <w:t xml:space="preserve">безвъзмездно отстраняване на всички възникнали повреди и отклонения. </w:t>
      </w:r>
    </w:p>
    <w:p w14:paraId="766D56C2" w14:textId="77777777" w:rsidR="00BF4EBA" w:rsidRPr="00BF4EBA" w:rsidRDefault="00BF4EBA" w:rsidP="00000433">
      <w:pPr>
        <w:ind w:firstLine="426"/>
        <w:jc w:val="both"/>
      </w:pPr>
    </w:p>
    <w:p w14:paraId="5BA63D32" w14:textId="77777777" w:rsidR="00BF4EBA" w:rsidRPr="00BF4EBA" w:rsidRDefault="00BF4EBA" w:rsidP="00000433">
      <w:pPr>
        <w:ind w:firstLine="426"/>
        <w:jc w:val="both"/>
      </w:pPr>
      <w:r w:rsidRPr="00BF4EBA">
        <w:t xml:space="preserve">Гаранционната поддръжка трябва да се основава на следните </w:t>
      </w:r>
    </w:p>
    <w:p w14:paraId="13869696" w14:textId="77777777" w:rsidR="00BF4EBA" w:rsidRPr="00BF4EBA" w:rsidRDefault="00BF4EBA" w:rsidP="00000433">
      <w:pPr>
        <w:ind w:firstLine="426"/>
        <w:jc w:val="both"/>
        <w:rPr>
          <w:b/>
          <w:i/>
        </w:rPr>
      </w:pPr>
      <w:r w:rsidRPr="00BF4EBA">
        <w:rPr>
          <w:b/>
          <w:i/>
        </w:rPr>
        <w:t>„Минимални изисквания за нивото на предоставяната услуга през периода на гаранционна поддръжка (</w:t>
      </w:r>
      <w:proofErr w:type="spellStart"/>
      <w:r w:rsidRPr="00BF4EBA">
        <w:rPr>
          <w:b/>
          <w:i/>
        </w:rPr>
        <w:t>SLAgr</w:t>
      </w:r>
      <w:proofErr w:type="spellEnd"/>
      <w:r w:rsidRPr="00BF4EBA">
        <w:rPr>
          <w:b/>
          <w:i/>
        </w:rPr>
        <w:t>)“:</w:t>
      </w:r>
    </w:p>
    <w:p w14:paraId="2D4BAFCA" w14:textId="77777777" w:rsidR="00BF4EBA" w:rsidRPr="00BF4EBA" w:rsidRDefault="00BF4EBA" w:rsidP="00000433">
      <w:pPr>
        <w:ind w:firstLine="426"/>
        <w:jc w:val="both"/>
      </w:pPr>
      <w:r w:rsidRPr="00BF4EBA">
        <w:t>Доставеното оборудване трябва да работи  в режим 7/24/365 (00.00 ч. до 24.00 ч., всеки ден от седмицата, 365 дни в годината).</w:t>
      </w:r>
    </w:p>
    <w:p w14:paraId="4BA3B42B" w14:textId="77777777" w:rsidR="00BF4EBA" w:rsidRPr="00BF4EBA" w:rsidRDefault="00BF4EBA" w:rsidP="00000433">
      <w:pPr>
        <w:ind w:firstLine="426"/>
        <w:jc w:val="both"/>
        <w:rPr>
          <w:b/>
          <w:i/>
        </w:rPr>
      </w:pPr>
      <w:r w:rsidRPr="00BF4EBA">
        <w:rPr>
          <w:b/>
          <w:i/>
        </w:rPr>
        <w:t>А) Параметри на гаранционната поддръжка</w:t>
      </w:r>
    </w:p>
    <w:p w14:paraId="6243C304" w14:textId="77777777" w:rsidR="00BF4EBA" w:rsidRPr="00BF4EBA" w:rsidRDefault="00BF4EBA" w:rsidP="00000433">
      <w:pPr>
        <w:ind w:firstLine="426"/>
        <w:jc w:val="both"/>
        <w:rPr>
          <w:b/>
          <w:i/>
        </w:rPr>
      </w:pPr>
      <w:r w:rsidRPr="00BF4EBA">
        <w:rPr>
          <w:b/>
          <w:i/>
        </w:rPr>
        <w:t>Използвани термини:</w:t>
      </w:r>
    </w:p>
    <w:p w14:paraId="5C9D51C9" w14:textId="77777777" w:rsidR="00BF4EBA" w:rsidRPr="00BF4EBA" w:rsidRDefault="00BF4EBA" w:rsidP="00000433">
      <w:pPr>
        <w:jc w:val="both"/>
      </w:pPr>
      <w:r w:rsidRPr="00BF4EBA">
        <w:rPr>
          <w:b/>
          <w:bCs/>
          <w:iCs/>
        </w:rPr>
        <w:t>Наличност в проценти</w:t>
      </w:r>
      <w:r w:rsidRPr="00BF4EBA">
        <w:rPr>
          <w:bCs/>
          <w:iCs/>
        </w:rPr>
        <w:t xml:space="preserve">: </w:t>
      </w:r>
      <w:r w:rsidRPr="00BF4EBA">
        <w:t>Процентът на договорените часове, за които компонент или услуга е достъпна за определен период от време.</w:t>
      </w:r>
    </w:p>
    <w:p w14:paraId="1A5763FD" w14:textId="77777777" w:rsidR="00BF4EBA" w:rsidRPr="00BF4EBA" w:rsidRDefault="00BF4EBA" w:rsidP="00000433">
      <w:pPr>
        <w:jc w:val="both"/>
      </w:pPr>
      <w:r w:rsidRPr="00BF4EBA">
        <w:rPr>
          <w:b/>
          <w:bCs/>
          <w:iCs/>
        </w:rPr>
        <w:t>Работни дни</w:t>
      </w:r>
      <w:r w:rsidRPr="00BF4EBA">
        <w:rPr>
          <w:bCs/>
          <w:iCs/>
        </w:rPr>
        <w:t xml:space="preserve">: </w:t>
      </w:r>
      <w:r w:rsidRPr="00BF4EBA">
        <w:t>От Понеделник до Петък без националните и официални празници.</w:t>
      </w:r>
    </w:p>
    <w:p w14:paraId="25A39DD4" w14:textId="77777777" w:rsidR="00BF4EBA" w:rsidRPr="00BF4EBA" w:rsidRDefault="00BF4EBA" w:rsidP="00000433">
      <w:pPr>
        <w:jc w:val="both"/>
      </w:pPr>
      <w:r w:rsidRPr="00BF4EBA">
        <w:rPr>
          <w:b/>
          <w:bCs/>
          <w:iCs/>
        </w:rPr>
        <w:t>Работни часове (Работно време)</w:t>
      </w:r>
      <w:r w:rsidRPr="00BF4EBA">
        <w:rPr>
          <w:bCs/>
          <w:iCs/>
        </w:rPr>
        <w:t xml:space="preserve">: </w:t>
      </w:r>
      <w:r w:rsidRPr="00BF4EBA">
        <w:t>08:00-20:00 всеки работен ден</w:t>
      </w:r>
    </w:p>
    <w:p w14:paraId="10EA9B58" w14:textId="77777777" w:rsidR="00BF4EBA" w:rsidRPr="00BF4EBA" w:rsidRDefault="00BF4EBA" w:rsidP="00000433">
      <w:pPr>
        <w:jc w:val="both"/>
      </w:pPr>
      <w:r w:rsidRPr="00BF4EBA">
        <w:rPr>
          <w:b/>
          <w:bCs/>
          <w:iCs/>
        </w:rPr>
        <w:t>Инцидент</w:t>
      </w:r>
      <w:r w:rsidRPr="00BF4EBA">
        <w:rPr>
          <w:bCs/>
          <w:iCs/>
        </w:rPr>
        <w:t xml:space="preserve">: </w:t>
      </w:r>
      <w:r w:rsidRPr="00BF4EBA">
        <w:t>Всяко събитие, което причинява или може да предизвика прекъсване и/или намаляване на качеството на услугата.</w:t>
      </w:r>
    </w:p>
    <w:p w14:paraId="135643D5" w14:textId="77777777" w:rsidR="00BF4EBA" w:rsidRPr="00BF4EBA" w:rsidRDefault="00BF4EBA" w:rsidP="00000433">
      <w:pPr>
        <w:jc w:val="both"/>
      </w:pPr>
      <w:r w:rsidRPr="00BF4EBA">
        <w:rPr>
          <w:b/>
          <w:bCs/>
          <w:iCs/>
        </w:rPr>
        <w:t>Продължително прекъсване</w:t>
      </w:r>
      <w:r w:rsidRPr="00BF4EBA">
        <w:rPr>
          <w:bCs/>
          <w:iCs/>
        </w:rPr>
        <w:t xml:space="preserve">: </w:t>
      </w:r>
      <w:r w:rsidRPr="00BF4EBA">
        <w:t>Прекъсване на услугата за повече от четири (4) работни часа</w:t>
      </w:r>
    </w:p>
    <w:p w14:paraId="6F74F314" w14:textId="77777777" w:rsidR="00BF4EBA" w:rsidRPr="00BF4EBA" w:rsidRDefault="00BF4EBA" w:rsidP="00000433">
      <w:pPr>
        <w:jc w:val="both"/>
      </w:pPr>
      <w:r w:rsidRPr="00BF4EBA">
        <w:rPr>
          <w:b/>
          <w:bCs/>
          <w:iCs/>
        </w:rPr>
        <w:t>Планирана недостъпност</w:t>
      </w:r>
      <w:r w:rsidRPr="00BF4EBA">
        <w:rPr>
          <w:bCs/>
          <w:iCs/>
        </w:rPr>
        <w:t xml:space="preserve">: </w:t>
      </w:r>
      <w:r w:rsidRPr="00BF4EBA">
        <w:t>Планирано прекъсване на една или повече услуги.</w:t>
      </w:r>
    </w:p>
    <w:p w14:paraId="749E4903" w14:textId="77777777" w:rsidR="00BF4EBA" w:rsidRPr="00BF4EBA" w:rsidRDefault="00BF4EBA" w:rsidP="00BF4EBA">
      <w:r w:rsidRPr="00BF4EBA">
        <w:rPr>
          <w:b/>
          <w:bCs/>
          <w:iCs/>
        </w:rPr>
        <w:t>Недостъпност</w:t>
      </w:r>
      <w:r w:rsidRPr="00BF4EBA">
        <w:rPr>
          <w:bCs/>
          <w:iCs/>
        </w:rPr>
        <w:t xml:space="preserve">: </w:t>
      </w:r>
      <w:r w:rsidRPr="00BF4EBA">
        <w:t>Неспособността на услуга или част от услуга да осигури нормалното обслужване</w:t>
      </w:r>
    </w:p>
    <w:p w14:paraId="7763F6F1" w14:textId="77777777" w:rsidR="00BF4EBA" w:rsidRPr="00BF4EBA" w:rsidRDefault="00BF4EBA" w:rsidP="00BF4EBA">
      <w:r w:rsidRPr="00BF4EBA">
        <w:rPr>
          <w:b/>
          <w:bCs/>
          <w:iCs/>
        </w:rPr>
        <w:lastRenderedPageBreak/>
        <w:t>Непланирана недостъпност</w:t>
      </w:r>
      <w:r w:rsidRPr="00BF4EBA">
        <w:rPr>
          <w:bCs/>
          <w:iCs/>
        </w:rPr>
        <w:t xml:space="preserve">: </w:t>
      </w:r>
      <w:r w:rsidRPr="00BF4EBA">
        <w:t>Неочаквано прекъсване на една или повече услуги или значителна деградация на качеството на предлаганата услуга.</w:t>
      </w:r>
    </w:p>
    <w:p w14:paraId="51056952" w14:textId="77777777" w:rsidR="00BF4EBA" w:rsidRPr="00BF4EBA" w:rsidRDefault="00BF4EBA" w:rsidP="00BF4EBA">
      <w:r w:rsidRPr="00BF4EBA">
        <w:rPr>
          <w:b/>
        </w:rPr>
        <w:t>Време за реакция</w:t>
      </w:r>
      <w:r w:rsidRPr="00BF4EBA">
        <w:t>: Отчита се от момента на съобщаване до момента на потвърждаване регистрирането на повредата от Участника през определената Точка за контакт</w:t>
      </w:r>
    </w:p>
    <w:p w14:paraId="57A64CAC" w14:textId="77777777" w:rsidR="00BF4EBA" w:rsidRPr="00BF4EBA" w:rsidRDefault="00BF4EBA" w:rsidP="00BF4EBA">
      <w:r w:rsidRPr="00BF4EBA">
        <w:rPr>
          <w:b/>
        </w:rPr>
        <w:t>Време за отстраняване на възникнала повреда/инцидент</w:t>
      </w:r>
      <w:r w:rsidRPr="00BF4EBA">
        <w:t>: Времето от момента на потвърждаването на приемането й до момента на възстановяване на нормалната работоспособност на подсистема към системата чрез ремонт на повреденото устройство или осигуряване и включване на оборотно устройство със същите или по-високи технически характеристики.</w:t>
      </w:r>
    </w:p>
    <w:p w14:paraId="21D8532E" w14:textId="77777777" w:rsidR="00BF4EBA" w:rsidRPr="00BF4EBA" w:rsidRDefault="00BF4EBA" w:rsidP="00BF4EBA">
      <w:r w:rsidRPr="00BF4EBA">
        <w:rPr>
          <w:b/>
        </w:rPr>
        <w:t>Време за отстраняване на авария</w:t>
      </w:r>
      <w:r w:rsidRPr="00BF4EBA">
        <w:t>: Отчита се от момента на възникването и до момента на частичното или пълно възстановяване до нормална работа /декомпозиране/ с изпращане на съобщение за край до Възложителя</w:t>
      </w:r>
    </w:p>
    <w:p w14:paraId="02FBC662" w14:textId="77777777" w:rsidR="00BF4EBA" w:rsidRPr="00BF4EBA" w:rsidRDefault="00BF4EBA" w:rsidP="00BF4EBA">
      <w:pPr>
        <w:ind w:firstLine="426"/>
      </w:pPr>
    </w:p>
    <w:p w14:paraId="0FF659B3" w14:textId="77777777" w:rsidR="00BF4EBA" w:rsidRPr="00BF4EBA" w:rsidRDefault="00BF4EBA" w:rsidP="00BF4EBA">
      <w:pPr>
        <w:ind w:firstLine="426"/>
      </w:pPr>
      <w:r w:rsidRPr="00BF4EBA">
        <w:t>Конкретните параметри, свързани с достигането на необходимото ниво на работоспособност през гаранционния период, са дадени в следните Таблици:</w:t>
      </w:r>
    </w:p>
    <w:p w14:paraId="78DBCF10" w14:textId="77777777" w:rsidR="00BF4EBA" w:rsidRPr="00BF4EBA" w:rsidRDefault="00BF4EBA" w:rsidP="00BF4EBA">
      <w:pPr>
        <w:ind w:firstLine="426"/>
        <w:rPr>
          <w:b/>
          <w:i/>
        </w:rPr>
      </w:pPr>
      <w:r w:rsidRPr="00BF4EBA">
        <w:rPr>
          <w:b/>
          <w:i/>
        </w:rPr>
        <w:t>Таблица 1:</w:t>
      </w:r>
    </w:p>
    <w:tbl>
      <w:tblPr>
        <w:tblW w:w="9213" w:type="dxa"/>
        <w:tblInd w:w="65" w:type="dxa"/>
        <w:tblCellMar>
          <w:left w:w="70" w:type="dxa"/>
          <w:right w:w="70" w:type="dxa"/>
        </w:tblCellMar>
        <w:tblLook w:val="0000" w:firstRow="0" w:lastRow="0" w:firstColumn="0" w:lastColumn="0" w:noHBand="0" w:noVBand="0"/>
      </w:tblPr>
      <w:tblGrid>
        <w:gridCol w:w="2132"/>
        <w:gridCol w:w="2268"/>
        <w:gridCol w:w="2409"/>
        <w:gridCol w:w="2404"/>
      </w:tblGrid>
      <w:tr w:rsidR="00BF4EBA" w:rsidRPr="00BF4EBA" w14:paraId="578AF0AE" w14:textId="77777777" w:rsidTr="00BF4EBA">
        <w:trPr>
          <w:trHeight w:val="263"/>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3A3A202" w14:textId="77777777" w:rsidR="00BF4EBA" w:rsidRPr="00BF4EBA" w:rsidRDefault="00BF4EBA" w:rsidP="00BF4EBA">
            <w:pPr>
              <w:jc w:val="center"/>
              <w:rPr>
                <w:b/>
              </w:rPr>
            </w:pPr>
            <w:r w:rsidRPr="00BF4EBA">
              <w:rPr>
                <w:b/>
                <w:bCs/>
              </w:rPr>
              <w:t>Наличност на оборудването в проценти</w:t>
            </w:r>
            <w:r w:rsidRPr="00BF4EBA">
              <w:t xml:space="preserve"> </w:t>
            </w:r>
            <w:r w:rsidRPr="00BF4EBA">
              <w:rPr>
                <w:b/>
              </w:rPr>
              <w:t>и часове на годишна база</w:t>
            </w:r>
          </w:p>
        </w:tc>
      </w:tr>
      <w:tr w:rsidR="00BF4EBA" w:rsidRPr="00BF4EBA" w14:paraId="3C548F14" w14:textId="77777777" w:rsidTr="00BF4EBA">
        <w:trPr>
          <w:trHeight w:val="963"/>
        </w:trPr>
        <w:tc>
          <w:tcPr>
            <w:tcW w:w="2132" w:type="dxa"/>
            <w:tcBorders>
              <w:top w:val="nil"/>
              <w:left w:val="single" w:sz="4" w:space="0" w:color="auto"/>
              <w:bottom w:val="single" w:sz="4" w:space="0" w:color="auto"/>
              <w:right w:val="single" w:sz="4" w:space="0" w:color="auto"/>
            </w:tcBorders>
            <w:shd w:val="clear" w:color="auto" w:fill="auto"/>
            <w:vAlign w:val="bottom"/>
          </w:tcPr>
          <w:p w14:paraId="084027C5" w14:textId="77777777" w:rsidR="00BF4EBA" w:rsidRPr="00BF4EBA" w:rsidRDefault="00BF4EBA" w:rsidP="00BF4EBA">
            <w:pPr>
              <w:jc w:val="center"/>
              <w:rPr>
                <w:b/>
                <w:bCs/>
              </w:rPr>
            </w:pPr>
            <w:r w:rsidRPr="00BF4EBA">
              <w:rPr>
                <w:b/>
                <w:bCs/>
              </w:rPr>
              <w:t>В рамките на работните часове</w:t>
            </w:r>
          </w:p>
        </w:tc>
        <w:tc>
          <w:tcPr>
            <w:tcW w:w="2268" w:type="dxa"/>
            <w:tcBorders>
              <w:top w:val="nil"/>
              <w:left w:val="nil"/>
              <w:bottom w:val="single" w:sz="4" w:space="0" w:color="auto"/>
              <w:right w:val="single" w:sz="4" w:space="0" w:color="auto"/>
            </w:tcBorders>
            <w:shd w:val="clear" w:color="auto" w:fill="auto"/>
            <w:vAlign w:val="bottom"/>
          </w:tcPr>
          <w:p w14:paraId="20425AE7" w14:textId="77777777" w:rsidR="00BF4EBA" w:rsidRPr="00BF4EBA" w:rsidRDefault="00BF4EBA" w:rsidP="00BF4EBA">
            <w:pPr>
              <w:jc w:val="center"/>
              <w:rPr>
                <w:b/>
                <w:bCs/>
              </w:rPr>
            </w:pPr>
            <w:r w:rsidRPr="00BF4EBA">
              <w:rPr>
                <w:b/>
                <w:bCs/>
              </w:rPr>
              <w:t>Максимално сумарно отпадане на оборудване в работно време за една година</w:t>
            </w:r>
          </w:p>
        </w:tc>
        <w:tc>
          <w:tcPr>
            <w:tcW w:w="2409" w:type="dxa"/>
            <w:tcBorders>
              <w:top w:val="nil"/>
              <w:left w:val="nil"/>
              <w:bottom w:val="single" w:sz="4" w:space="0" w:color="auto"/>
              <w:right w:val="single" w:sz="4" w:space="0" w:color="auto"/>
            </w:tcBorders>
            <w:shd w:val="clear" w:color="auto" w:fill="auto"/>
            <w:vAlign w:val="bottom"/>
          </w:tcPr>
          <w:p w14:paraId="2CA61B72" w14:textId="77777777" w:rsidR="00BF4EBA" w:rsidRPr="00BF4EBA" w:rsidRDefault="00BF4EBA" w:rsidP="00BF4EBA">
            <w:pPr>
              <w:jc w:val="center"/>
              <w:rPr>
                <w:b/>
                <w:bCs/>
              </w:rPr>
            </w:pPr>
            <w:r w:rsidRPr="00BF4EBA">
              <w:rPr>
                <w:b/>
                <w:bCs/>
              </w:rPr>
              <w:t>Извън рамките на работните часове</w:t>
            </w:r>
          </w:p>
        </w:tc>
        <w:tc>
          <w:tcPr>
            <w:tcW w:w="2404" w:type="dxa"/>
            <w:tcBorders>
              <w:top w:val="nil"/>
              <w:left w:val="nil"/>
              <w:bottom w:val="single" w:sz="4" w:space="0" w:color="auto"/>
              <w:right w:val="single" w:sz="4" w:space="0" w:color="auto"/>
            </w:tcBorders>
            <w:shd w:val="clear" w:color="auto" w:fill="auto"/>
            <w:vAlign w:val="bottom"/>
          </w:tcPr>
          <w:p w14:paraId="7B77C1D9" w14:textId="77777777" w:rsidR="00BF4EBA" w:rsidRPr="00BF4EBA" w:rsidRDefault="00BF4EBA" w:rsidP="00BF4EBA">
            <w:pPr>
              <w:jc w:val="center"/>
              <w:rPr>
                <w:b/>
                <w:bCs/>
              </w:rPr>
            </w:pPr>
            <w:r w:rsidRPr="00BF4EBA">
              <w:rPr>
                <w:b/>
                <w:bCs/>
              </w:rPr>
              <w:t>Максимално сумарно отпадане на оборудване в извън работно време за една година</w:t>
            </w:r>
          </w:p>
        </w:tc>
      </w:tr>
      <w:tr w:rsidR="00BF4EBA" w:rsidRPr="00BF4EBA" w14:paraId="4A0422BF" w14:textId="77777777" w:rsidTr="00BF4EBA">
        <w:trPr>
          <w:trHeight w:val="263"/>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301C5D0" w14:textId="77777777" w:rsidR="00BF4EBA" w:rsidRPr="00BF4EBA" w:rsidRDefault="00BF4EBA" w:rsidP="00BF4EBA">
            <w:pPr>
              <w:jc w:val="center"/>
            </w:pPr>
            <w:r w:rsidRPr="00BF4EBA">
              <w:t>99,50%</w:t>
            </w:r>
          </w:p>
        </w:tc>
        <w:tc>
          <w:tcPr>
            <w:tcW w:w="2268" w:type="dxa"/>
            <w:tcBorders>
              <w:top w:val="nil"/>
              <w:left w:val="nil"/>
              <w:bottom w:val="single" w:sz="4" w:space="0" w:color="auto"/>
              <w:right w:val="single" w:sz="4" w:space="0" w:color="auto"/>
            </w:tcBorders>
            <w:shd w:val="clear" w:color="auto" w:fill="auto"/>
            <w:noWrap/>
            <w:vAlign w:val="bottom"/>
          </w:tcPr>
          <w:p w14:paraId="460E8458" w14:textId="77777777" w:rsidR="00BF4EBA" w:rsidRPr="00BF4EBA" w:rsidRDefault="00BF4EBA" w:rsidP="00BF4EBA">
            <w:pPr>
              <w:jc w:val="center"/>
            </w:pPr>
            <w:r w:rsidRPr="00BF4EBA">
              <w:t xml:space="preserve">&lt;15 часа </w:t>
            </w:r>
          </w:p>
        </w:tc>
        <w:tc>
          <w:tcPr>
            <w:tcW w:w="2409" w:type="dxa"/>
            <w:tcBorders>
              <w:top w:val="nil"/>
              <w:left w:val="nil"/>
              <w:bottom w:val="single" w:sz="4" w:space="0" w:color="auto"/>
              <w:right w:val="single" w:sz="4" w:space="0" w:color="auto"/>
            </w:tcBorders>
            <w:shd w:val="clear" w:color="auto" w:fill="auto"/>
            <w:noWrap/>
            <w:vAlign w:val="bottom"/>
          </w:tcPr>
          <w:p w14:paraId="35F7FE42" w14:textId="77777777" w:rsidR="00BF4EBA" w:rsidRPr="00BF4EBA" w:rsidRDefault="00BF4EBA" w:rsidP="00BF4EBA">
            <w:pPr>
              <w:jc w:val="center"/>
            </w:pPr>
            <w:r w:rsidRPr="00BF4EBA">
              <w:t>98,00%</w:t>
            </w:r>
          </w:p>
        </w:tc>
        <w:tc>
          <w:tcPr>
            <w:tcW w:w="2404" w:type="dxa"/>
            <w:tcBorders>
              <w:top w:val="nil"/>
              <w:left w:val="nil"/>
              <w:bottom w:val="single" w:sz="4" w:space="0" w:color="auto"/>
              <w:right w:val="single" w:sz="4" w:space="0" w:color="auto"/>
            </w:tcBorders>
            <w:shd w:val="clear" w:color="auto" w:fill="auto"/>
            <w:noWrap/>
            <w:vAlign w:val="bottom"/>
          </w:tcPr>
          <w:p w14:paraId="05E1FF19" w14:textId="77777777" w:rsidR="00BF4EBA" w:rsidRPr="00BF4EBA" w:rsidRDefault="00BF4EBA" w:rsidP="00BF4EBA">
            <w:pPr>
              <w:jc w:val="center"/>
            </w:pPr>
            <w:r w:rsidRPr="00BF4EBA">
              <w:t>&lt;116 часа</w:t>
            </w:r>
          </w:p>
        </w:tc>
      </w:tr>
    </w:tbl>
    <w:p w14:paraId="1BB5C9DD" w14:textId="77777777" w:rsidR="00BF4EBA" w:rsidRPr="00BF4EBA" w:rsidRDefault="00BF4EBA" w:rsidP="00BF4EBA">
      <w:pPr>
        <w:ind w:firstLine="426"/>
      </w:pPr>
    </w:p>
    <w:p w14:paraId="280DD9E9" w14:textId="77777777" w:rsidR="00BF4EBA" w:rsidRPr="00BF4EBA" w:rsidRDefault="00BF4EBA" w:rsidP="00BF4EBA">
      <w:pPr>
        <w:ind w:firstLine="426"/>
        <w:rPr>
          <w:b/>
          <w:i/>
        </w:rPr>
      </w:pPr>
      <w:r w:rsidRPr="00BF4EBA">
        <w:rPr>
          <w:b/>
          <w:i/>
        </w:rPr>
        <w:t>Таблица 2:</w:t>
      </w:r>
    </w:p>
    <w:tbl>
      <w:tblPr>
        <w:tblW w:w="9224" w:type="dxa"/>
        <w:tblInd w:w="65" w:type="dxa"/>
        <w:tblCellMar>
          <w:left w:w="70" w:type="dxa"/>
          <w:right w:w="70" w:type="dxa"/>
        </w:tblCellMar>
        <w:tblLook w:val="0000" w:firstRow="0" w:lastRow="0" w:firstColumn="0" w:lastColumn="0" w:noHBand="0" w:noVBand="0"/>
      </w:tblPr>
      <w:tblGrid>
        <w:gridCol w:w="1333"/>
        <w:gridCol w:w="7891"/>
      </w:tblGrid>
      <w:tr w:rsidR="00BF4EBA" w:rsidRPr="00BF4EBA" w14:paraId="224A8264" w14:textId="77777777" w:rsidTr="00BF4EBA">
        <w:trPr>
          <w:trHeight w:val="408"/>
        </w:trPr>
        <w:tc>
          <w:tcPr>
            <w:tcW w:w="9224"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366D8315" w14:textId="77777777" w:rsidR="00BF4EBA" w:rsidRPr="00BF4EBA" w:rsidRDefault="00BF4EBA" w:rsidP="00BF4EBA">
            <w:pPr>
              <w:jc w:val="center"/>
              <w:rPr>
                <w:b/>
              </w:rPr>
            </w:pPr>
            <w:r w:rsidRPr="00BF4EBA">
              <w:rPr>
                <w:b/>
              </w:rPr>
              <w:t>Приоритети на инцидентите в ИТ инфраструктурата</w:t>
            </w:r>
          </w:p>
        </w:tc>
      </w:tr>
      <w:tr w:rsidR="00BF4EBA" w:rsidRPr="00BF4EBA" w14:paraId="7833F599" w14:textId="77777777" w:rsidTr="00BF4EBA">
        <w:trPr>
          <w:trHeight w:val="282"/>
        </w:trPr>
        <w:tc>
          <w:tcPr>
            <w:tcW w:w="1281" w:type="dxa"/>
            <w:tcBorders>
              <w:top w:val="nil"/>
              <w:left w:val="single" w:sz="4" w:space="0" w:color="auto"/>
              <w:bottom w:val="single" w:sz="4" w:space="0" w:color="auto"/>
              <w:right w:val="single" w:sz="4" w:space="0" w:color="auto"/>
            </w:tcBorders>
            <w:shd w:val="clear" w:color="auto" w:fill="FFFFFF"/>
            <w:vAlign w:val="bottom"/>
          </w:tcPr>
          <w:p w14:paraId="1F78EDED" w14:textId="77777777" w:rsidR="00BF4EBA" w:rsidRPr="00BF4EBA" w:rsidRDefault="00BF4EBA" w:rsidP="00BF4EBA">
            <w:pPr>
              <w:jc w:val="center"/>
              <w:rPr>
                <w:b/>
                <w:bCs/>
              </w:rPr>
            </w:pPr>
            <w:r w:rsidRPr="00BF4EBA">
              <w:rPr>
                <w:b/>
                <w:bCs/>
              </w:rPr>
              <w:t>Приоритет</w:t>
            </w:r>
          </w:p>
        </w:tc>
        <w:tc>
          <w:tcPr>
            <w:tcW w:w="7943" w:type="dxa"/>
            <w:tcBorders>
              <w:top w:val="single" w:sz="4" w:space="0" w:color="auto"/>
              <w:left w:val="nil"/>
              <w:bottom w:val="single" w:sz="4" w:space="0" w:color="auto"/>
              <w:right w:val="single" w:sz="4" w:space="0" w:color="000000"/>
            </w:tcBorders>
            <w:shd w:val="clear" w:color="auto" w:fill="FFFFFF"/>
            <w:vAlign w:val="bottom"/>
          </w:tcPr>
          <w:p w14:paraId="7D4C6E64" w14:textId="77777777" w:rsidR="00BF4EBA" w:rsidRPr="00BF4EBA" w:rsidRDefault="00BF4EBA" w:rsidP="00BF4EBA">
            <w:pPr>
              <w:jc w:val="center"/>
              <w:rPr>
                <w:b/>
                <w:bCs/>
              </w:rPr>
            </w:pPr>
            <w:r w:rsidRPr="00BF4EBA">
              <w:rPr>
                <w:b/>
                <w:bCs/>
              </w:rPr>
              <w:t>Въздействие върху дейността</w:t>
            </w:r>
          </w:p>
        </w:tc>
      </w:tr>
      <w:tr w:rsidR="00BF4EBA" w:rsidRPr="00BF4EBA" w14:paraId="58F8FDDA" w14:textId="77777777" w:rsidTr="00BF4EBA">
        <w:trPr>
          <w:trHeight w:val="411"/>
        </w:trPr>
        <w:tc>
          <w:tcPr>
            <w:tcW w:w="1281" w:type="dxa"/>
            <w:tcBorders>
              <w:top w:val="nil"/>
              <w:left w:val="single" w:sz="4" w:space="0" w:color="auto"/>
              <w:bottom w:val="single" w:sz="4" w:space="0" w:color="auto"/>
              <w:right w:val="single" w:sz="4" w:space="0" w:color="auto"/>
            </w:tcBorders>
            <w:shd w:val="clear" w:color="auto" w:fill="auto"/>
          </w:tcPr>
          <w:p w14:paraId="7C61F7C6" w14:textId="77777777" w:rsidR="00BF4EBA" w:rsidRPr="00BF4EBA" w:rsidRDefault="00BF4EBA" w:rsidP="00BF4EBA">
            <w:pPr>
              <w:jc w:val="center"/>
              <w:rPr>
                <w:b/>
                <w:bCs/>
              </w:rPr>
            </w:pPr>
            <w:r w:rsidRPr="00BF4EBA">
              <w:rPr>
                <w:b/>
                <w:bCs/>
              </w:rPr>
              <w:t>1 Критичен</w:t>
            </w:r>
          </w:p>
        </w:tc>
        <w:tc>
          <w:tcPr>
            <w:tcW w:w="7943" w:type="dxa"/>
            <w:tcBorders>
              <w:top w:val="single" w:sz="4" w:space="0" w:color="auto"/>
              <w:left w:val="nil"/>
              <w:bottom w:val="single" w:sz="4" w:space="0" w:color="auto"/>
              <w:right w:val="single" w:sz="4" w:space="0" w:color="000000"/>
            </w:tcBorders>
            <w:shd w:val="clear" w:color="auto" w:fill="auto"/>
            <w:vAlign w:val="bottom"/>
          </w:tcPr>
          <w:p w14:paraId="556B573F" w14:textId="77777777" w:rsidR="00BF4EBA" w:rsidRPr="00BF4EBA" w:rsidRDefault="00BF4EBA" w:rsidP="00BF4EBA">
            <w:pPr>
              <w:rPr>
                <w:b/>
                <w:bCs/>
              </w:rPr>
            </w:pPr>
            <w:r w:rsidRPr="00BF4EBA">
              <w:rPr>
                <w:b/>
                <w:bCs/>
              </w:rPr>
              <w:t>Критично влияние върху дейността. Изисква незабавно действие:</w:t>
            </w:r>
          </w:p>
          <w:p w14:paraId="11FEF085" w14:textId="77777777" w:rsidR="00BF4EBA" w:rsidRPr="00BF4EBA" w:rsidRDefault="00BF4EBA" w:rsidP="00BF4EBA">
            <w:r w:rsidRPr="00BF4EBA">
              <w:t>- Пълно прекъсване на една или повече услуги, свързани с критични за дейността функции в системата на ИПА в момента на възникването им;</w:t>
            </w:r>
          </w:p>
          <w:p w14:paraId="7C5DCF9E" w14:textId="77777777" w:rsidR="00BF4EBA" w:rsidRPr="00BF4EBA" w:rsidRDefault="00BF4EBA" w:rsidP="00BF4EBA">
            <w:r w:rsidRPr="00BF4EBA">
              <w:t>- Недостъпност до тези функции и информационни ресурси, която пряко и съществено засяга способността на института да ги използва и да изпълнява основни задължения;</w:t>
            </w:r>
          </w:p>
          <w:p w14:paraId="35F2CE2B" w14:textId="77777777" w:rsidR="00BF4EBA" w:rsidRPr="00BF4EBA" w:rsidRDefault="00BF4EBA" w:rsidP="00BF4EBA">
            <w:r w:rsidRPr="00BF4EBA">
              <w:t>- Висок риск от загуби на данни и/или засягане на авторитета на ИПА;</w:t>
            </w:r>
          </w:p>
          <w:p w14:paraId="3EDC2582" w14:textId="77777777" w:rsidR="00BF4EBA" w:rsidRPr="00BF4EBA" w:rsidRDefault="00BF4EBA" w:rsidP="00BF4EBA">
            <w:r w:rsidRPr="00BF4EBA">
              <w:t>- Създава висок риск за компрометиране на информация в системите;</w:t>
            </w:r>
          </w:p>
          <w:p w14:paraId="1E97B68F" w14:textId="77777777" w:rsidR="00BF4EBA" w:rsidRPr="00BF4EBA" w:rsidRDefault="00BF4EBA" w:rsidP="00BF4EBA">
            <w:r w:rsidRPr="00BF4EBA">
              <w:t>- Нарушена комуникация;</w:t>
            </w:r>
          </w:p>
          <w:p w14:paraId="3D43469E" w14:textId="77777777" w:rsidR="00BF4EBA" w:rsidRPr="00BF4EBA" w:rsidRDefault="00BF4EBA" w:rsidP="00BF4EBA">
            <w:pPr>
              <w:rPr>
                <w:b/>
                <w:bCs/>
              </w:rPr>
            </w:pPr>
            <w:r w:rsidRPr="00BF4EBA">
              <w:t>- Риск за съществено прекъсване или излизане от строя на ключов обект в системата на ИПА.</w:t>
            </w:r>
          </w:p>
        </w:tc>
      </w:tr>
      <w:tr w:rsidR="00BF4EBA" w:rsidRPr="00BF4EBA" w14:paraId="4255D8B8" w14:textId="77777777" w:rsidTr="00BF4EBA">
        <w:trPr>
          <w:trHeight w:val="751"/>
        </w:trPr>
        <w:tc>
          <w:tcPr>
            <w:tcW w:w="1281" w:type="dxa"/>
            <w:tcBorders>
              <w:top w:val="single" w:sz="4" w:space="0" w:color="auto"/>
              <w:left w:val="single" w:sz="4" w:space="0" w:color="auto"/>
              <w:bottom w:val="single" w:sz="4" w:space="0" w:color="auto"/>
              <w:right w:val="single" w:sz="4" w:space="0" w:color="auto"/>
            </w:tcBorders>
            <w:shd w:val="clear" w:color="auto" w:fill="auto"/>
          </w:tcPr>
          <w:p w14:paraId="632F87F5" w14:textId="77777777" w:rsidR="00BF4EBA" w:rsidRPr="00BF4EBA" w:rsidRDefault="00BF4EBA" w:rsidP="00BF4EBA">
            <w:pPr>
              <w:jc w:val="center"/>
              <w:rPr>
                <w:b/>
                <w:bCs/>
              </w:rPr>
            </w:pPr>
            <w:r w:rsidRPr="00BF4EBA">
              <w:rPr>
                <w:b/>
                <w:bCs/>
              </w:rPr>
              <w:t>2 Висок</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bottom"/>
          </w:tcPr>
          <w:p w14:paraId="317FB432" w14:textId="77777777" w:rsidR="00BF4EBA" w:rsidRPr="00BF4EBA" w:rsidRDefault="00BF4EBA" w:rsidP="00BF4EBA">
            <w:pPr>
              <w:rPr>
                <w:b/>
                <w:bCs/>
              </w:rPr>
            </w:pPr>
            <w:r w:rsidRPr="00BF4EBA">
              <w:rPr>
                <w:b/>
                <w:bCs/>
              </w:rPr>
              <w:t xml:space="preserve">Съществено влияние върху дейността: </w:t>
            </w:r>
          </w:p>
          <w:p w14:paraId="0B30B51D" w14:textId="77777777" w:rsidR="00BF4EBA" w:rsidRPr="00BF4EBA" w:rsidRDefault="00BF4EBA" w:rsidP="00BF4EBA">
            <w:r w:rsidRPr="00BF4EBA">
              <w:rPr>
                <w:b/>
                <w:bCs/>
              </w:rPr>
              <w:t xml:space="preserve">- </w:t>
            </w:r>
            <w:r w:rsidRPr="00BF4EBA">
              <w:t>Влошаване на качеството на предлагана услуга или достъп до такава, без пълно прекъсване;</w:t>
            </w:r>
          </w:p>
          <w:p w14:paraId="66A0CFEE" w14:textId="77777777" w:rsidR="00BF4EBA" w:rsidRPr="00BF4EBA" w:rsidRDefault="00BF4EBA" w:rsidP="00BF4EBA">
            <w:pPr>
              <w:rPr>
                <w:b/>
                <w:bCs/>
              </w:rPr>
            </w:pPr>
            <w:r w:rsidRPr="00BF4EBA">
              <w:t>- Създаване на сериозен риск от възникване на инцидент с критичен приоритет.</w:t>
            </w:r>
          </w:p>
        </w:tc>
      </w:tr>
      <w:tr w:rsidR="00BF4EBA" w:rsidRPr="00BF4EBA" w14:paraId="19690602" w14:textId="77777777" w:rsidTr="00BF4EBA">
        <w:trPr>
          <w:trHeight w:val="1243"/>
        </w:trPr>
        <w:tc>
          <w:tcPr>
            <w:tcW w:w="1281" w:type="dxa"/>
            <w:tcBorders>
              <w:top w:val="single" w:sz="4" w:space="0" w:color="auto"/>
              <w:left w:val="single" w:sz="4" w:space="0" w:color="auto"/>
              <w:bottom w:val="single" w:sz="4" w:space="0" w:color="auto"/>
              <w:right w:val="single" w:sz="4" w:space="0" w:color="auto"/>
            </w:tcBorders>
            <w:shd w:val="clear" w:color="auto" w:fill="auto"/>
          </w:tcPr>
          <w:p w14:paraId="7267DCF6" w14:textId="77777777" w:rsidR="00BF4EBA" w:rsidRPr="00BF4EBA" w:rsidRDefault="00BF4EBA" w:rsidP="00BF4EBA">
            <w:pPr>
              <w:jc w:val="center"/>
              <w:rPr>
                <w:b/>
                <w:bCs/>
              </w:rPr>
            </w:pPr>
            <w:r w:rsidRPr="00BF4EBA">
              <w:rPr>
                <w:b/>
                <w:bCs/>
              </w:rPr>
              <w:t>3 Среден</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bottom"/>
          </w:tcPr>
          <w:p w14:paraId="1594CC92" w14:textId="77777777" w:rsidR="00BF4EBA" w:rsidRPr="00BF4EBA" w:rsidRDefault="00BF4EBA" w:rsidP="00BF4EBA">
            <w:pPr>
              <w:rPr>
                <w:b/>
                <w:bCs/>
              </w:rPr>
            </w:pPr>
            <w:r w:rsidRPr="00BF4EBA">
              <w:rPr>
                <w:b/>
                <w:bCs/>
              </w:rPr>
              <w:t>Несъществено влияние върху дейността:</w:t>
            </w:r>
          </w:p>
          <w:p w14:paraId="0878B29E" w14:textId="77777777" w:rsidR="00BF4EBA" w:rsidRPr="00BF4EBA" w:rsidRDefault="00BF4EBA" w:rsidP="00BF4EBA">
            <w:pPr>
              <w:rPr>
                <w:b/>
                <w:bCs/>
              </w:rPr>
            </w:pPr>
            <w:r w:rsidRPr="00BF4EBA">
              <w:t>Ограничено въздействие върху дейността, което засяга или създава неудобство за изпълнение на отделни функции, без да има цялостно отражение върху функциите на офис. Забавяне на отстраняването му може да доведе до възникване на инцидент от по-високо ниво.</w:t>
            </w:r>
          </w:p>
        </w:tc>
      </w:tr>
      <w:tr w:rsidR="00BF4EBA" w:rsidRPr="00BF4EBA" w14:paraId="66064E14" w14:textId="77777777" w:rsidTr="00BF4EBA">
        <w:trPr>
          <w:trHeight w:val="1677"/>
        </w:trPr>
        <w:tc>
          <w:tcPr>
            <w:tcW w:w="1281" w:type="dxa"/>
            <w:tcBorders>
              <w:top w:val="single" w:sz="4" w:space="0" w:color="auto"/>
              <w:left w:val="single" w:sz="4" w:space="0" w:color="auto"/>
              <w:bottom w:val="single" w:sz="4" w:space="0" w:color="auto"/>
              <w:right w:val="single" w:sz="4" w:space="0" w:color="auto"/>
            </w:tcBorders>
            <w:shd w:val="clear" w:color="auto" w:fill="auto"/>
          </w:tcPr>
          <w:p w14:paraId="6D182D73" w14:textId="77777777" w:rsidR="00BF4EBA" w:rsidRPr="00BF4EBA" w:rsidRDefault="00BF4EBA" w:rsidP="00BF4EBA">
            <w:pPr>
              <w:jc w:val="center"/>
              <w:rPr>
                <w:b/>
                <w:bCs/>
              </w:rPr>
            </w:pPr>
            <w:r w:rsidRPr="00BF4EBA">
              <w:rPr>
                <w:b/>
                <w:bCs/>
              </w:rPr>
              <w:lastRenderedPageBreak/>
              <w:t>4 Нисък</w:t>
            </w:r>
          </w:p>
        </w:tc>
        <w:tc>
          <w:tcPr>
            <w:tcW w:w="7943" w:type="dxa"/>
            <w:tcBorders>
              <w:top w:val="single" w:sz="4" w:space="0" w:color="auto"/>
              <w:left w:val="nil"/>
              <w:bottom w:val="single" w:sz="4" w:space="0" w:color="auto"/>
              <w:right w:val="single" w:sz="4" w:space="0" w:color="auto"/>
            </w:tcBorders>
            <w:shd w:val="clear" w:color="auto" w:fill="auto"/>
            <w:vAlign w:val="bottom"/>
          </w:tcPr>
          <w:p w14:paraId="539493DB" w14:textId="77777777" w:rsidR="00BF4EBA" w:rsidRPr="00BF4EBA" w:rsidRDefault="00BF4EBA" w:rsidP="00BF4EBA">
            <w:pPr>
              <w:rPr>
                <w:b/>
                <w:bCs/>
              </w:rPr>
            </w:pPr>
            <w:r w:rsidRPr="00BF4EBA">
              <w:rPr>
                <w:b/>
                <w:bCs/>
              </w:rPr>
              <w:t>Няма пряко влияние върху дейността в момента на възникването му:</w:t>
            </w:r>
          </w:p>
          <w:p w14:paraId="05F914CD" w14:textId="77777777" w:rsidR="00BF4EBA" w:rsidRPr="00BF4EBA" w:rsidRDefault="00BF4EBA" w:rsidP="00BF4EBA">
            <w:r w:rsidRPr="00BF4EBA">
              <w:rPr>
                <w:b/>
                <w:bCs/>
              </w:rPr>
              <w:t xml:space="preserve">- </w:t>
            </w:r>
            <w:r w:rsidRPr="00BF4EBA">
              <w:t>В момента липсва пряко влияние, но нерешаването му в определен срок крие потенциален риск от възникване на инцидент с по-висок приоритет.</w:t>
            </w:r>
          </w:p>
          <w:p w14:paraId="3F9FA097" w14:textId="77777777" w:rsidR="00BF4EBA" w:rsidRPr="00BF4EBA" w:rsidRDefault="00BF4EBA" w:rsidP="00BF4EBA">
            <w:r w:rsidRPr="00BF4EBA">
              <w:t>- Обикновено се свързва с подобряване на функционирането на услуга или усъвършенстването й.</w:t>
            </w:r>
          </w:p>
          <w:p w14:paraId="69E08975" w14:textId="77777777" w:rsidR="00BF4EBA" w:rsidRPr="00BF4EBA" w:rsidRDefault="00BF4EBA" w:rsidP="00BF4EBA">
            <w:pPr>
              <w:rPr>
                <w:b/>
                <w:bCs/>
              </w:rPr>
            </w:pPr>
            <w:r w:rsidRPr="00BF4EBA">
              <w:t>- Отстраняването се планира съвместно с ИПА и не е обект на планиране на срокове.</w:t>
            </w:r>
          </w:p>
        </w:tc>
      </w:tr>
      <w:tr w:rsidR="00BF4EBA" w:rsidRPr="00BF4EBA" w14:paraId="1F01C751" w14:textId="77777777" w:rsidTr="00BF4EBA">
        <w:trPr>
          <w:trHeight w:val="369"/>
        </w:trPr>
        <w:tc>
          <w:tcPr>
            <w:tcW w:w="92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EE49C8" w14:textId="77777777" w:rsidR="00BF4EBA" w:rsidRPr="00BF4EBA" w:rsidRDefault="00BF4EBA" w:rsidP="00BF4EBA">
            <w:pPr>
              <w:rPr>
                <w:b/>
                <w:bCs/>
              </w:rPr>
            </w:pPr>
            <w:r w:rsidRPr="00BF4EBA">
              <w:rPr>
                <w:b/>
                <w:bCs/>
              </w:rPr>
              <w:t>Забележки:</w:t>
            </w:r>
          </w:p>
          <w:p w14:paraId="42914271" w14:textId="77777777" w:rsidR="00BF4EBA" w:rsidRPr="00BF4EBA" w:rsidRDefault="00BF4EBA" w:rsidP="00BF4EBA">
            <w:r w:rsidRPr="00BF4EBA">
              <w:t>1. Приоритетът на</w:t>
            </w:r>
            <w:r w:rsidRPr="00BF4EBA">
              <w:rPr>
                <w:b/>
                <w:bCs/>
              </w:rPr>
              <w:t xml:space="preserve"> </w:t>
            </w:r>
            <w:r w:rsidRPr="00BF4EBA">
              <w:t>конкретните случаи се определя от ИПА и не може да се променя едностранно от Участника.</w:t>
            </w:r>
          </w:p>
          <w:p w14:paraId="59AEB926" w14:textId="77777777" w:rsidR="00BF4EBA" w:rsidRPr="00BF4EBA" w:rsidRDefault="00BF4EBA" w:rsidP="00BF4EBA">
            <w:r w:rsidRPr="00BF4EBA">
              <w:t>2. За инциденти от първи и втори приоритет е допустимо във времето за отстраняване на проблема да бъде намерено временно решение, което води до снижаване на приоритета му, но не и до закриването му.</w:t>
            </w:r>
          </w:p>
        </w:tc>
      </w:tr>
    </w:tbl>
    <w:p w14:paraId="2248201B" w14:textId="77777777" w:rsidR="00BF4EBA" w:rsidRPr="00BF4EBA" w:rsidRDefault="00BF4EBA" w:rsidP="00BF4EBA">
      <w:pPr>
        <w:ind w:firstLine="426"/>
      </w:pPr>
    </w:p>
    <w:p w14:paraId="44046FB2" w14:textId="77777777" w:rsidR="00BF4EBA" w:rsidRPr="00BF4EBA" w:rsidRDefault="00BF4EBA" w:rsidP="00BF4EBA">
      <w:pPr>
        <w:ind w:firstLine="426"/>
        <w:rPr>
          <w:b/>
          <w:bCs/>
          <w:i/>
        </w:rPr>
      </w:pPr>
      <w:bookmarkStart w:id="63" w:name="_Toc118894798"/>
      <w:bookmarkStart w:id="64" w:name="_Toc152584355"/>
      <w:bookmarkStart w:id="65" w:name="_Ref236563048"/>
      <w:bookmarkStart w:id="66" w:name="_Toc288655638"/>
      <w:bookmarkStart w:id="67" w:name="_Toc321834877"/>
      <w:bookmarkStart w:id="68" w:name="_Toc321834900"/>
      <w:bookmarkStart w:id="69" w:name="_Toc324886686"/>
      <w:r w:rsidRPr="00BF4EBA">
        <w:rPr>
          <w:b/>
          <w:bCs/>
          <w:i/>
        </w:rPr>
        <w:t>Б) Нива на ескалация на проблемите</w:t>
      </w:r>
      <w:bookmarkEnd w:id="63"/>
      <w:bookmarkEnd w:id="64"/>
      <w:bookmarkEnd w:id="65"/>
      <w:bookmarkEnd w:id="66"/>
      <w:r w:rsidRPr="00BF4EBA">
        <w:rPr>
          <w:b/>
          <w:bCs/>
          <w:i/>
        </w:rPr>
        <w:t>.</w:t>
      </w:r>
      <w:bookmarkEnd w:id="67"/>
      <w:bookmarkEnd w:id="68"/>
      <w:bookmarkEnd w:id="69"/>
    </w:p>
    <w:p w14:paraId="793DC8DE" w14:textId="77777777" w:rsidR="00BF4EBA" w:rsidRPr="00BF4EBA" w:rsidRDefault="00BF4EBA" w:rsidP="00AF7157">
      <w:pPr>
        <w:ind w:firstLine="426"/>
        <w:jc w:val="both"/>
      </w:pPr>
      <w:r w:rsidRPr="00BF4EBA">
        <w:t>Ще бъдат дефинирани три нива на ескалация на проблемите:</w:t>
      </w:r>
    </w:p>
    <w:p w14:paraId="524FD83F" w14:textId="77777777" w:rsidR="00BF4EBA" w:rsidRPr="00BF4EBA" w:rsidRDefault="00BF4EBA" w:rsidP="00AF7157">
      <w:pPr>
        <w:ind w:firstLine="426"/>
        <w:jc w:val="both"/>
      </w:pPr>
      <w:r w:rsidRPr="00BF4EBA">
        <w:t>1-во ниво – екип на Възложителя ще приема и систематизира проблемите, докладвани от потребителите. Когато е възможно, ще ги отстранява, в противен случай ще уведомява на по горно ниво за проблема и предприетите мерки.</w:t>
      </w:r>
    </w:p>
    <w:p w14:paraId="5C27BC6E" w14:textId="77777777" w:rsidR="00BF4EBA" w:rsidRPr="00BF4EBA" w:rsidRDefault="00BF4EBA" w:rsidP="00AF7157">
      <w:pPr>
        <w:ind w:firstLine="426"/>
        <w:jc w:val="both"/>
      </w:pPr>
      <w:r w:rsidRPr="00BF4EBA">
        <w:t xml:space="preserve">2-во ниво – Екип по поддръжка на Участника. Екипът по поддръжката ще разглежда, анализира и отстранява всички възникнали проблеми, спазвайки процедурата, описана в настоящия документ. </w:t>
      </w:r>
    </w:p>
    <w:p w14:paraId="7B74B61A" w14:textId="77777777" w:rsidR="00BF4EBA" w:rsidRPr="00BF4EBA" w:rsidRDefault="00BF4EBA" w:rsidP="00AF7157">
      <w:pPr>
        <w:ind w:firstLine="426"/>
        <w:jc w:val="both"/>
      </w:pPr>
      <w:r w:rsidRPr="00BF4EBA">
        <w:t>3-то ниво – Мениджърски екип на Участника. Когато даден проблем не може да бъде разрешен на 2 ниво, ръководителят на проекта, ще бъде уведомен незабавно. По негова преценка ще бъдат привлечени допълнителни ресурси за решаване на проблема. Ако се налага, той ще информира ръководителя на Участника за проблема.</w:t>
      </w:r>
    </w:p>
    <w:p w14:paraId="477B0419" w14:textId="77777777" w:rsidR="00BF4EBA" w:rsidRPr="00BF4EBA" w:rsidRDefault="00BF4EBA" w:rsidP="00AF7157">
      <w:pPr>
        <w:ind w:firstLine="426"/>
        <w:jc w:val="both"/>
        <w:rPr>
          <w:b/>
          <w:bCs/>
          <w:i/>
        </w:rPr>
      </w:pPr>
      <w:bookmarkStart w:id="70" w:name="_Toc235609813"/>
      <w:bookmarkStart w:id="71" w:name="_Toc288655640"/>
      <w:bookmarkStart w:id="72" w:name="_Toc321834879"/>
      <w:bookmarkStart w:id="73" w:name="_Toc321834902"/>
      <w:bookmarkStart w:id="74" w:name="_Toc324886688"/>
      <w:r w:rsidRPr="00BF4EBA">
        <w:rPr>
          <w:b/>
          <w:bCs/>
          <w:i/>
        </w:rPr>
        <w:t>В) Процедура за управление на възникнали проблеми</w:t>
      </w:r>
      <w:bookmarkEnd w:id="70"/>
      <w:bookmarkEnd w:id="71"/>
      <w:r w:rsidRPr="00BF4EBA">
        <w:rPr>
          <w:b/>
          <w:bCs/>
          <w:i/>
        </w:rPr>
        <w:t>:</w:t>
      </w:r>
      <w:bookmarkEnd w:id="72"/>
      <w:bookmarkEnd w:id="73"/>
      <w:bookmarkEnd w:id="74"/>
    </w:p>
    <w:p w14:paraId="55590846" w14:textId="77777777" w:rsidR="00BF4EBA" w:rsidRPr="00BF4EBA" w:rsidRDefault="00BF4EBA" w:rsidP="00AF7157">
      <w:pPr>
        <w:ind w:firstLine="426"/>
        <w:jc w:val="both"/>
      </w:pPr>
      <w:r w:rsidRPr="00BF4EBA">
        <w:t>На всеки нов проблем е необходимо първо да се определи приоритета. Приоритетите на проблемите се определят съгласно Таблица 2.</w:t>
      </w:r>
    </w:p>
    <w:p w14:paraId="539F536C" w14:textId="77777777" w:rsidR="00BF4EBA" w:rsidRPr="00BF4EBA" w:rsidRDefault="00BF4EBA" w:rsidP="00BF4EBA">
      <w:pPr>
        <w:ind w:firstLine="426"/>
      </w:pPr>
      <w:r w:rsidRPr="00BF4EBA">
        <w:t xml:space="preserve">Институтът по публична администрация поддържа единствена входна точка от ниво 1 (точка за контакт от страна на Възложителя). </w:t>
      </w:r>
    </w:p>
    <w:p w14:paraId="225048F4" w14:textId="77777777" w:rsidR="00BF4EBA" w:rsidRPr="00BF4EBA" w:rsidRDefault="00BF4EBA" w:rsidP="00BF4EBA">
      <w:pPr>
        <w:ind w:firstLine="426"/>
      </w:pPr>
      <w:r w:rsidRPr="00BF4EBA">
        <w:t>Необходимо е да бъде посочено от страна на Участника на отговорно лице за контакт (Точка за контакт), с пълни данни за осъществяване на контакт с него при възникване на проблем.</w:t>
      </w:r>
    </w:p>
    <w:p w14:paraId="7D0B6FA2" w14:textId="77777777" w:rsidR="00BF4EBA" w:rsidRPr="00BF4EBA" w:rsidRDefault="00BF4EBA" w:rsidP="00BF4EBA">
      <w:pPr>
        <w:ind w:firstLine="426"/>
      </w:pPr>
      <w:r w:rsidRPr="00BF4EBA">
        <w:t>Участникът предоставя контакти за поддръжка от ниво 2. Те се поддържат в актуален „Списък контакти за поддръжка”, достъпен от двете страни (Възложител и Участник).</w:t>
      </w:r>
    </w:p>
    <w:p w14:paraId="3AC6A67E" w14:textId="77777777" w:rsidR="00BF4EBA" w:rsidRPr="00BF4EBA" w:rsidRDefault="00BF4EBA" w:rsidP="00BF4EBA">
      <w:pPr>
        <w:ind w:firstLine="426"/>
      </w:pPr>
      <w:r w:rsidRPr="00BF4EBA">
        <w:t>Проблемите се пренасочват единствено до контактите от горния „Списък контакти за поддръжка“.</w:t>
      </w:r>
    </w:p>
    <w:p w14:paraId="71EE075D" w14:textId="77777777" w:rsidR="00BF4EBA" w:rsidRPr="00BF4EBA" w:rsidRDefault="00BF4EBA" w:rsidP="00AF7157">
      <w:pPr>
        <w:ind w:firstLine="426"/>
        <w:jc w:val="both"/>
      </w:pPr>
      <w:r w:rsidRPr="00BF4EBA">
        <w:t xml:space="preserve">Съобщаването за проблем се осъществява през Интернет (директна възможност за заявяване на проблем в </w:t>
      </w:r>
      <w:proofErr w:type="spellStart"/>
      <w:r w:rsidRPr="00BF4EBA">
        <w:t>Help</w:t>
      </w:r>
      <w:proofErr w:type="spellEnd"/>
      <w:r w:rsidRPr="00BF4EBA">
        <w:t xml:space="preserve"> </w:t>
      </w:r>
      <w:proofErr w:type="spellStart"/>
      <w:r w:rsidRPr="00BF4EBA">
        <w:t>Desk</w:t>
      </w:r>
      <w:proofErr w:type="spellEnd"/>
      <w:r w:rsidRPr="00BF4EBA">
        <w:t xml:space="preserve"> – Система за проследяване и управление на дефекти или електронна поща с потвърждение), а като резервна възможност – по телефона.</w:t>
      </w:r>
    </w:p>
    <w:p w14:paraId="539D6196" w14:textId="77777777" w:rsidR="00BF4EBA" w:rsidRPr="00BF4EBA" w:rsidRDefault="00BF4EBA" w:rsidP="00AF7157">
      <w:pPr>
        <w:ind w:firstLine="426"/>
        <w:jc w:val="both"/>
      </w:pPr>
      <w:r w:rsidRPr="00BF4EBA">
        <w:t xml:space="preserve">Участникът следва да създаде и поддържа база данни за всички възникнали проблеми в работата на </w:t>
      </w:r>
      <w:r w:rsidRPr="00BF4EBA">
        <w:rPr>
          <w:color w:val="000000"/>
        </w:rPr>
        <w:t>доставеното оборудване (</w:t>
      </w:r>
      <w:r w:rsidRPr="00BF4EBA">
        <w:t>Система за проследяване и управление на дефекти</w:t>
      </w:r>
      <w:r w:rsidRPr="00BF4EBA">
        <w:rPr>
          <w:color w:val="000000"/>
        </w:rPr>
        <w:t>), с оглед постоянно проследяване качеството на изпълнената работа</w:t>
      </w:r>
      <w:r w:rsidRPr="00BF4EBA">
        <w:t xml:space="preserve"> и оценяване. Участникът трябва да регистрира всички заявки в собствена система за управление на инциденти и заявки, разполагаща с модул за измерване на ниво на обслужване. Участникът трябва да предостави интерфейс към своята система, </w:t>
      </w:r>
      <w:r w:rsidRPr="00BF4EBA">
        <w:lastRenderedPageBreak/>
        <w:t>чрез който Възложителя наблюдава и следи статуса на обработваните от Участника заявки.</w:t>
      </w:r>
    </w:p>
    <w:p w14:paraId="57B5996C" w14:textId="77777777" w:rsidR="00BF4EBA" w:rsidRPr="00BF4EBA" w:rsidRDefault="00BF4EBA" w:rsidP="00AF7157">
      <w:pPr>
        <w:ind w:firstLine="426"/>
        <w:jc w:val="both"/>
      </w:pPr>
      <w:r w:rsidRPr="00BF4EBA">
        <w:t>Времето за реакция трябва да е максимум до 4 часа, независимо дали в работен или неработен ден, на територията на гр.София.</w:t>
      </w:r>
    </w:p>
    <w:p w14:paraId="6CCBAD95" w14:textId="77777777" w:rsidR="00BF4EBA" w:rsidRPr="00BF4EBA" w:rsidRDefault="00BF4EBA" w:rsidP="00AF7157">
      <w:pPr>
        <w:ind w:firstLine="426"/>
        <w:jc w:val="both"/>
      </w:pPr>
      <w:r w:rsidRPr="00BF4EBA">
        <w:rPr>
          <w:color w:val="000000"/>
        </w:rPr>
        <w:t>Отчитането на дейността по гаранционната поддръжка следва да се осъществява чрез изготвяне на протоколи за извършената работа, които се подписват от упълномощени от Възложителя лица и от съответните отговорни лица от страна на Участника.</w:t>
      </w:r>
    </w:p>
    <w:p w14:paraId="0F84503D" w14:textId="551EC070" w:rsidR="00BF4EBA" w:rsidRPr="00BF4EBA" w:rsidRDefault="00BF4EBA" w:rsidP="00AF7157">
      <w:pPr>
        <w:pStyle w:val="Heading2"/>
        <w:numPr>
          <w:ilvl w:val="0"/>
          <w:numId w:val="35"/>
        </w:numPr>
      </w:pPr>
      <w:bookmarkStart w:id="75" w:name="_Toc288475547"/>
      <w:bookmarkStart w:id="76" w:name="_Toc288653102"/>
      <w:bookmarkStart w:id="77" w:name="_Toc288654787"/>
      <w:bookmarkStart w:id="78" w:name="_Toc381038902"/>
      <w:bookmarkStart w:id="79" w:name="_Toc381039498"/>
      <w:bookmarkStart w:id="80" w:name="_Toc381039571"/>
      <w:bookmarkStart w:id="81" w:name="_Toc381043101"/>
      <w:bookmarkStart w:id="82" w:name="_Toc386965149"/>
      <w:bookmarkStart w:id="83" w:name="_Toc386965526"/>
      <w:bookmarkStart w:id="84" w:name="_Toc266289440"/>
      <w:bookmarkEnd w:id="75"/>
      <w:bookmarkEnd w:id="76"/>
      <w:bookmarkEnd w:id="77"/>
      <w:r w:rsidRPr="00BF4EBA">
        <w:t>Комуникация</w:t>
      </w:r>
      <w:bookmarkEnd w:id="78"/>
      <w:bookmarkEnd w:id="79"/>
      <w:bookmarkEnd w:id="80"/>
      <w:bookmarkEnd w:id="81"/>
      <w:bookmarkEnd w:id="82"/>
      <w:bookmarkEnd w:id="83"/>
      <w:bookmarkEnd w:id="84"/>
    </w:p>
    <w:p w14:paraId="6206E3D0" w14:textId="77777777" w:rsidR="00BF4EBA" w:rsidRPr="00BF4EBA" w:rsidRDefault="00BF4EBA" w:rsidP="00CC7B69">
      <w:pPr>
        <w:ind w:firstLine="426"/>
        <w:jc w:val="both"/>
        <w:rPr>
          <w:bCs/>
          <w:color w:val="000000"/>
        </w:rPr>
      </w:pPr>
      <w:r w:rsidRPr="00BF4EBA">
        <w:rPr>
          <w:bCs/>
        </w:rPr>
        <w:t xml:space="preserve">За да се гарантира успешно изпълнение на поръчката, трябва да има добре организирана проектна комуникация. За целта Участниците трябва да изложат в своите предложения подробно предложение за организация на проектната комуникация, което да съдържа описание на управленската структура и начина на управление на комуникацията между страните и екипите. </w:t>
      </w:r>
      <w:r w:rsidRPr="00BF4EBA">
        <w:rPr>
          <w:bCs/>
          <w:color w:val="000000"/>
        </w:rPr>
        <w:t>Управлението на комуникацията трябва да включва изготвяне на минимум следните регулярни доклади за статуса и напредъка на проекта:</w:t>
      </w:r>
    </w:p>
    <w:p w14:paraId="3D5E907C" w14:textId="77777777" w:rsidR="00BF4EBA" w:rsidRPr="00BF4EBA" w:rsidRDefault="00BF4EBA" w:rsidP="00AF7157">
      <w:pPr>
        <w:numPr>
          <w:ilvl w:val="0"/>
          <w:numId w:val="13"/>
        </w:numPr>
        <w:tabs>
          <w:tab w:val="clear" w:pos="1429"/>
        </w:tabs>
        <w:spacing w:before="120"/>
        <w:ind w:left="709" w:hanging="283"/>
        <w:jc w:val="both"/>
        <w:rPr>
          <w:bCs/>
        </w:rPr>
      </w:pPr>
      <w:r w:rsidRPr="00BF4EBA">
        <w:rPr>
          <w:bCs/>
        </w:rPr>
        <w:t>Встъпителен доклад, който се изготвя не по-късно от месец след началото на изпълнението, като трябва да съдържа конкретизирани цели и задачи на проекта;</w:t>
      </w:r>
    </w:p>
    <w:p w14:paraId="6FD9AA6E" w14:textId="77777777" w:rsidR="00BF4EBA" w:rsidRPr="00BF4EBA" w:rsidRDefault="00BF4EBA" w:rsidP="00AF7157">
      <w:pPr>
        <w:numPr>
          <w:ilvl w:val="0"/>
          <w:numId w:val="13"/>
        </w:numPr>
        <w:tabs>
          <w:tab w:val="clear" w:pos="1429"/>
        </w:tabs>
        <w:spacing w:before="120"/>
        <w:ind w:left="709" w:hanging="283"/>
        <w:jc w:val="both"/>
        <w:rPr>
          <w:bCs/>
        </w:rPr>
      </w:pPr>
      <w:r w:rsidRPr="00BF4EBA">
        <w:rPr>
          <w:bCs/>
        </w:rPr>
        <w:t xml:space="preserve">Междинни доклади с регулярен характер, посредством които се следи статуса на проекта и своевременно се </w:t>
      </w:r>
      <w:proofErr w:type="spellStart"/>
      <w:r w:rsidRPr="00BF4EBA">
        <w:rPr>
          <w:bCs/>
        </w:rPr>
        <w:t>индикират</w:t>
      </w:r>
      <w:proofErr w:type="spellEnd"/>
      <w:r w:rsidRPr="00BF4EBA">
        <w:rPr>
          <w:bCs/>
        </w:rPr>
        <w:t xml:space="preserve"> рискове, проблеми и подходи за посрещането им;</w:t>
      </w:r>
    </w:p>
    <w:p w14:paraId="0C6C1F72" w14:textId="77777777" w:rsidR="00BF4EBA" w:rsidRPr="00BF4EBA" w:rsidRDefault="00BF4EBA" w:rsidP="00AF7157">
      <w:pPr>
        <w:numPr>
          <w:ilvl w:val="0"/>
          <w:numId w:val="13"/>
        </w:numPr>
        <w:tabs>
          <w:tab w:val="clear" w:pos="1429"/>
        </w:tabs>
        <w:spacing w:before="120"/>
        <w:ind w:left="709" w:hanging="283"/>
        <w:jc w:val="both"/>
        <w:rPr>
          <w:bCs/>
        </w:rPr>
      </w:pPr>
      <w:r w:rsidRPr="00BF4EBA">
        <w:rPr>
          <w:bCs/>
        </w:rPr>
        <w:t>Заключителен доклад с обобщение на изпълнението на проекта.</w:t>
      </w:r>
    </w:p>
    <w:p w14:paraId="2AFF1808" w14:textId="77777777" w:rsidR="00BF4EBA" w:rsidRPr="00BF4EBA" w:rsidRDefault="00BF4EBA" w:rsidP="00AF7157">
      <w:pPr>
        <w:ind w:firstLine="426"/>
        <w:jc w:val="both"/>
        <w:rPr>
          <w:bCs/>
        </w:rPr>
      </w:pPr>
      <w:r w:rsidRPr="00BF4EBA">
        <w:rPr>
          <w:bCs/>
          <w:color w:val="000000"/>
        </w:rPr>
        <w:t>По време на изпълнението, докладите, които включват резултати от обучения, трябва да представят обобщена оценка на проведения курс с мнения и препоръки от избрания Изпълнител. Към докладите трябва да са приложени анкетните карти, присъствените листа и снимков материал, доказващ спазване на изискванията за информация и публичност.</w:t>
      </w:r>
    </w:p>
    <w:p w14:paraId="1749A68D" w14:textId="77777777" w:rsidR="00BF4EBA" w:rsidRPr="00BF4EBA" w:rsidRDefault="00BF4EBA" w:rsidP="00AF7157">
      <w:pPr>
        <w:ind w:firstLine="426"/>
        <w:jc w:val="both"/>
        <w:rPr>
          <w:bCs/>
        </w:rPr>
      </w:pPr>
      <w:r w:rsidRPr="00BF4EBA">
        <w:rPr>
          <w:bCs/>
        </w:rPr>
        <w:t>Тези доклади имат комуникационна и организационна роля и са различни от докладите, които трябва да бъдат изготвени като продукти от различните проектни дейности, описани в настоящото техническо задание.</w:t>
      </w:r>
    </w:p>
    <w:p w14:paraId="7F87392C" w14:textId="77777777" w:rsidR="00BF4EBA" w:rsidRPr="00BF4EBA" w:rsidRDefault="00BF4EBA" w:rsidP="00AF7157">
      <w:pPr>
        <w:ind w:firstLine="426"/>
        <w:jc w:val="both"/>
        <w:rPr>
          <w:bCs/>
        </w:rPr>
      </w:pPr>
      <w:r w:rsidRPr="00BF4EBA">
        <w:rPr>
          <w:bCs/>
        </w:rPr>
        <w:t>Всеки участник трябва да опише структурирания  подход и методологията относно организираната проектна комуникация при изпълнението на проекта.</w:t>
      </w:r>
    </w:p>
    <w:p w14:paraId="589E09C4" w14:textId="77777777" w:rsidR="00BF4EBA" w:rsidRPr="00BF4EBA" w:rsidRDefault="00BF4EBA" w:rsidP="00AF7157">
      <w:pPr>
        <w:pStyle w:val="Heading2"/>
        <w:numPr>
          <w:ilvl w:val="0"/>
          <w:numId w:val="35"/>
        </w:numPr>
      </w:pPr>
      <w:bookmarkStart w:id="85" w:name="_Toc381038903"/>
      <w:bookmarkStart w:id="86" w:name="_Toc381039499"/>
      <w:bookmarkStart w:id="87" w:name="_Toc381039572"/>
      <w:bookmarkStart w:id="88" w:name="_Toc381043102"/>
      <w:bookmarkStart w:id="89" w:name="_Toc386965150"/>
      <w:bookmarkStart w:id="90" w:name="_Toc386965527"/>
      <w:bookmarkStart w:id="91" w:name="_Toc266289441"/>
      <w:r w:rsidRPr="00BF4EBA">
        <w:t>Рискове</w:t>
      </w:r>
      <w:bookmarkEnd w:id="85"/>
      <w:bookmarkEnd w:id="86"/>
      <w:bookmarkEnd w:id="87"/>
      <w:bookmarkEnd w:id="88"/>
      <w:bookmarkEnd w:id="89"/>
      <w:bookmarkEnd w:id="90"/>
      <w:bookmarkEnd w:id="91"/>
    </w:p>
    <w:p w14:paraId="41E97DAB" w14:textId="0698B561" w:rsidR="00BF4EBA" w:rsidRPr="00BF4EBA" w:rsidRDefault="00BF4EBA" w:rsidP="00BF4EBA">
      <w:pPr>
        <w:ind w:firstLine="426"/>
        <w:rPr>
          <w:bCs/>
        </w:rPr>
      </w:pPr>
      <w:r w:rsidRPr="00BF4EBA">
        <w:rPr>
          <w:bCs/>
        </w:rPr>
        <w:t xml:space="preserve">По-важните рискове, които могат да произтекат във връзка с изпълнението на </w:t>
      </w:r>
      <w:r w:rsidR="000C4CB8">
        <w:rPr>
          <w:bCs/>
        </w:rPr>
        <w:t>поръчката</w:t>
      </w:r>
      <w:r w:rsidRPr="00BF4EBA">
        <w:rPr>
          <w:bCs/>
        </w:rPr>
        <w:t xml:space="preserve"> (и съответните превантивни действия), са:</w:t>
      </w:r>
    </w:p>
    <w:p w14:paraId="3586E9C8" w14:textId="77777777" w:rsidR="00BF4EBA" w:rsidRPr="00BF4EBA" w:rsidRDefault="00BF4EBA" w:rsidP="00AF7157">
      <w:pPr>
        <w:numPr>
          <w:ilvl w:val="0"/>
          <w:numId w:val="13"/>
        </w:numPr>
        <w:tabs>
          <w:tab w:val="clear" w:pos="1429"/>
        </w:tabs>
        <w:spacing w:before="120"/>
        <w:ind w:left="709" w:hanging="283"/>
        <w:jc w:val="both"/>
        <w:rPr>
          <w:bCs/>
        </w:rPr>
      </w:pPr>
      <w:r w:rsidRPr="00BF4EBA">
        <w:rPr>
          <w:bCs/>
        </w:rPr>
        <w:t>Риск от обжалване на процедурата за възлагане на обществената поръчка;</w:t>
      </w:r>
    </w:p>
    <w:p w14:paraId="13C35D46" w14:textId="77777777" w:rsidR="00BF4EBA" w:rsidRPr="00BF4EBA" w:rsidRDefault="00BF4EBA" w:rsidP="00AF7157">
      <w:pPr>
        <w:numPr>
          <w:ilvl w:val="0"/>
          <w:numId w:val="13"/>
        </w:numPr>
        <w:tabs>
          <w:tab w:val="clear" w:pos="1429"/>
        </w:tabs>
        <w:spacing w:before="120"/>
        <w:ind w:left="709" w:hanging="283"/>
        <w:jc w:val="both"/>
        <w:rPr>
          <w:bCs/>
        </w:rPr>
      </w:pPr>
      <w:r w:rsidRPr="00BF4EBA">
        <w:rPr>
          <w:bCs/>
        </w:rPr>
        <w:t>Кратък срок за изпълнение и неспазване на сроковете по различните задачи, и на срока за  изпълнение като цяло;</w:t>
      </w:r>
    </w:p>
    <w:p w14:paraId="48DE0213" w14:textId="77777777" w:rsidR="00BF4EBA" w:rsidRPr="00BF4EBA" w:rsidRDefault="00BF4EBA" w:rsidP="00AF7157">
      <w:pPr>
        <w:numPr>
          <w:ilvl w:val="0"/>
          <w:numId w:val="13"/>
        </w:numPr>
        <w:tabs>
          <w:tab w:val="clear" w:pos="1429"/>
        </w:tabs>
        <w:spacing w:before="120"/>
        <w:ind w:left="709" w:hanging="283"/>
        <w:jc w:val="both"/>
        <w:rPr>
          <w:bCs/>
        </w:rPr>
      </w:pPr>
      <w:r w:rsidRPr="00BF4EBA">
        <w:rPr>
          <w:bCs/>
        </w:rPr>
        <w:t>Липса на квалифициран персонал на ИПА, който да окаже необходимото съдействие по време на изпълнение;</w:t>
      </w:r>
    </w:p>
    <w:p w14:paraId="08025CDC" w14:textId="77777777" w:rsidR="00BF4EBA" w:rsidRPr="00BF4EBA" w:rsidRDefault="00BF4EBA" w:rsidP="00AF7157">
      <w:pPr>
        <w:numPr>
          <w:ilvl w:val="0"/>
          <w:numId w:val="13"/>
        </w:numPr>
        <w:tabs>
          <w:tab w:val="clear" w:pos="1429"/>
        </w:tabs>
        <w:spacing w:before="120"/>
        <w:ind w:left="709" w:hanging="283"/>
        <w:jc w:val="both"/>
        <w:rPr>
          <w:bCs/>
        </w:rPr>
      </w:pPr>
      <w:r w:rsidRPr="00BF4EBA">
        <w:rPr>
          <w:bCs/>
        </w:rPr>
        <w:t>Риск за администриране и поддържане на доставеното оборудване;</w:t>
      </w:r>
    </w:p>
    <w:p w14:paraId="5DB1221C" w14:textId="77777777" w:rsidR="00BF4EBA" w:rsidRPr="00BF4EBA" w:rsidRDefault="00BF4EBA" w:rsidP="00AF7157">
      <w:pPr>
        <w:numPr>
          <w:ilvl w:val="0"/>
          <w:numId w:val="13"/>
        </w:numPr>
        <w:tabs>
          <w:tab w:val="clear" w:pos="1429"/>
        </w:tabs>
        <w:spacing w:before="120"/>
        <w:ind w:left="709" w:hanging="283"/>
        <w:jc w:val="both"/>
        <w:rPr>
          <w:bCs/>
        </w:rPr>
      </w:pPr>
      <w:r w:rsidRPr="00BF4EBA">
        <w:rPr>
          <w:bCs/>
        </w:rPr>
        <w:t>По време на първоначалния период след пускането в действие на новото оборудване, могат да се очакват смущения в работата на административните структури, които работят с него.</w:t>
      </w:r>
    </w:p>
    <w:p w14:paraId="6F76833B" w14:textId="77777777" w:rsidR="00BF4EBA" w:rsidRPr="00BF4EBA" w:rsidRDefault="00BF4EBA" w:rsidP="00AF7157">
      <w:pPr>
        <w:ind w:firstLine="426"/>
        <w:jc w:val="both"/>
        <w:rPr>
          <w:bCs/>
        </w:rPr>
      </w:pPr>
      <w:r w:rsidRPr="00BF4EBA">
        <w:rPr>
          <w:bCs/>
        </w:rPr>
        <w:lastRenderedPageBreak/>
        <w:t>С цел успешното постигане на очакваните резултати, Участникът може да идентифицира и други рискове за изпълнение на обществената поръчка. Участникът трябва да предложи към офертата си документ „План за управление на риска", регламентиращ начина на определяне на рисковете и заплахите при изпълнение на поръчката, както и превантивните стъпки за недопускане негативното влияние на даден риск или заплаха.</w:t>
      </w:r>
    </w:p>
    <w:p w14:paraId="6D9D2D96" w14:textId="77777777" w:rsidR="00BF4EBA" w:rsidRPr="00BF4EBA" w:rsidRDefault="00BF4EBA" w:rsidP="00AF7157">
      <w:pPr>
        <w:pStyle w:val="Heading2"/>
        <w:numPr>
          <w:ilvl w:val="0"/>
          <w:numId w:val="35"/>
        </w:numPr>
      </w:pPr>
      <w:bookmarkStart w:id="92" w:name="_Toc381038904"/>
      <w:bookmarkStart w:id="93" w:name="_Toc381039500"/>
      <w:bookmarkStart w:id="94" w:name="_Toc381039573"/>
      <w:bookmarkStart w:id="95" w:name="_Toc381043103"/>
      <w:bookmarkStart w:id="96" w:name="_Toc386965151"/>
      <w:bookmarkStart w:id="97" w:name="_Toc386965528"/>
      <w:bookmarkStart w:id="98" w:name="_Toc266289442"/>
      <w:r w:rsidRPr="00BF4EBA">
        <w:t>Териториален и времеви обхват</w:t>
      </w:r>
      <w:bookmarkEnd w:id="92"/>
      <w:bookmarkEnd w:id="93"/>
      <w:bookmarkEnd w:id="94"/>
      <w:bookmarkEnd w:id="95"/>
      <w:bookmarkEnd w:id="96"/>
      <w:bookmarkEnd w:id="97"/>
      <w:bookmarkEnd w:id="98"/>
    </w:p>
    <w:p w14:paraId="41EAC0BD" w14:textId="77777777" w:rsidR="00BF4EBA" w:rsidRPr="00BF4EBA" w:rsidRDefault="00BF4EBA" w:rsidP="00BF4EBA">
      <w:pPr>
        <w:ind w:firstLine="426"/>
      </w:pPr>
      <w:r w:rsidRPr="00BF4EBA">
        <w:t>Мястото на изпълнение на поръчката е Република България, гр. София, ул. Сердика 8, ИПА.</w:t>
      </w:r>
    </w:p>
    <w:p w14:paraId="65F0E634" w14:textId="77777777" w:rsidR="00BF4EBA" w:rsidRPr="00BF4EBA" w:rsidRDefault="00BF4EBA" w:rsidP="00BF4EBA">
      <w:pPr>
        <w:ind w:firstLine="426"/>
      </w:pPr>
      <w:r w:rsidRPr="00BF4EBA">
        <w:t>Мястото на инсталиране на компонентите на хардуерната платформа и софтуера за нейното управление е: гр. София, ул. Сердика 8, ИПА.</w:t>
      </w:r>
    </w:p>
    <w:p w14:paraId="65BC4709" w14:textId="1D787863" w:rsidR="00BF4EBA" w:rsidRPr="00BF4EBA" w:rsidRDefault="00BF4EBA" w:rsidP="00BF4EBA">
      <w:pPr>
        <w:ind w:firstLine="426"/>
      </w:pPr>
    </w:p>
    <w:p w14:paraId="02FDFE90" w14:textId="1C028FF3" w:rsidR="00BF4EBA" w:rsidRPr="00BF4EBA" w:rsidRDefault="00BF4EBA" w:rsidP="00F37378">
      <w:pPr>
        <w:ind w:firstLine="426"/>
        <w:jc w:val="both"/>
        <w:rPr>
          <w:b/>
        </w:rPr>
      </w:pPr>
      <w:r w:rsidRPr="00DF098E">
        <w:rPr>
          <w:highlight w:val="yellow"/>
        </w:rPr>
        <w:t xml:space="preserve">Срокът за изпълнение на </w:t>
      </w:r>
      <w:r w:rsidR="000C4CB8">
        <w:rPr>
          <w:highlight w:val="yellow"/>
        </w:rPr>
        <w:t>поръчката</w:t>
      </w:r>
      <w:r w:rsidRPr="00DF098E">
        <w:rPr>
          <w:highlight w:val="yellow"/>
        </w:rPr>
        <w:t xml:space="preserve"> е </w:t>
      </w:r>
      <w:r w:rsidRPr="00DF098E">
        <w:rPr>
          <w:b/>
          <w:highlight w:val="yellow"/>
        </w:rPr>
        <w:t xml:space="preserve">до </w:t>
      </w:r>
      <w:r w:rsidR="00A86D33">
        <w:rPr>
          <w:b/>
          <w:highlight w:val="yellow"/>
        </w:rPr>
        <w:t>2</w:t>
      </w:r>
      <w:r w:rsidR="00B45428" w:rsidRPr="00DF098E">
        <w:rPr>
          <w:b/>
          <w:highlight w:val="yellow"/>
        </w:rPr>
        <w:t xml:space="preserve"> </w:t>
      </w:r>
      <w:r w:rsidRPr="00DF098E">
        <w:rPr>
          <w:b/>
          <w:highlight w:val="yellow"/>
        </w:rPr>
        <w:t>месеца</w:t>
      </w:r>
      <w:r w:rsidR="00B45428" w:rsidRPr="00DF098E">
        <w:rPr>
          <w:b/>
          <w:highlight w:val="yellow"/>
          <w:lang w:val="en-US"/>
        </w:rPr>
        <w:t xml:space="preserve"> </w:t>
      </w:r>
      <w:r w:rsidR="00B45428" w:rsidRPr="00DF098E">
        <w:rPr>
          <w:b/>
          <w:highlight w:val="yellow"/>
        </w:rPr>
        <w:t>(но не по-късно от 3</w:t>
      </w:r>
      <w:r w:rsidR="00DF098E" w:rsidRPr="00DF098E">
        <w:rPr>
          <w:b/>
          <w:highlight w:val="yellow"/>
        </w:rPr>
        <w:t>1</w:t>
      </w:r>
      <w:r w:rsidR="00B45428" w:rsidRPr="00DF098E">
        <w:rPr>
          <w:b/>
          <w:highlight w:val="yellow"/>
        </w:rPr>
        <w:t>.0</w:t>
      </w:r>
      <w:r w:rsidR="00DF098E" w:rsidRPr="00DF098E">
        <w:rPr>
          <w:b/>
          <w:highlight w:val="yellow"/>
        </w:rPr>
        <w:t>5</w:t>
      </w:r>
      <w:r w:rsidR="00B45428" w:rsidRPr="00DF098E">
        <w:rPr>
          <w:b/>
          <w:highlight w:val="yellow"/>
        </w:rPr>
        <w:t>.2015</w:t>
      </w:r>
      <w:r w:rsidR="00AA2B1D">
        <w:rPr>
          <w:b/>
          <w:highlight w:val="yellow"/>
        </w:rPr>
        <w:t xml:space="preserve"> </w:t>
      </w:r>
      <w:r w:rsidR="00B45428" w:rsidRPr="00DF098E">
        <w:rPr>
          <w:b/>
          <w:highlight w:val="yellow"/>
        </w:rPr>
        <w:t>г.)</w:t>
      </w:r>
      <w:r w:rsidRPr="00DF098E">
        <w:rPr>
          <w:b/>
          <w:highlight w:val="yellow"/>
        </w:rPr>
        <w:t xml:space="preserve"> след подписване на договора с избрания Изпълнител.</w:t>
      </w:r>
    </w:p>
    <w:p w14:paraId="6C663834" w14:textId="0EBA03BC" w:rsidR="00BF4EBA" w:rsidRPr="00BF4EBA" w:rsidRDefault="00BF4EBA" w:rsidP="00AF7157">
      <w:pPr>
        <w:pStyle w:val="Heading2"/>
        <w:numPr>
          <w:ilvl w:val="0"/>
          <w:numId w:val="35"/>
        </w:numPr>
      </w:pPr>
      <w:bookmarkStart w:id="99" w:name="_Toc381038905"/>
      <w:bookmarkStart w:id="100" w:name="_Toc381039501"/>
      <w:bookmarkStart w:id="101" w:name="_Toc381039574"/>
      <w:bookmarkStart w:id="102" w:name="_Toc381043104"/>
      <w:bookmarkStart w:id="103" w:name="_Toc386965152"/>
      <w:bookmarkStart w:id="104" w:name="_Toc386965529"/>
      <w:bookmarkStart w:id="105" w:name="_Toc266289443"/>
      <w:r w:rsidRPr="00BF4EBA">
        <w:t xml:space="preserve">Обща стойност на </w:t>
      </w:r>
      <w:r w:rsidR="00DF098E">
        <w:t>поръчката</w:t>
      </w:r>
      <w:r w:rsidRPr="00BF4EBA">
        <w:t xml:space="preserve"> и на отделните </w:t>
      </w:r>
      <w:proofErr w:type="spellStart"/>
      <w:r w:rsidRPr="00BF4EBA">
        <w:t>поддейности</w:t>
      </w:r>
      <w:bookmarkEnd w:id="99"/>
      <w:bookmarkEnd w:id="100"/>
      <w:bookmarkEnd w:id="101"/>
      <w:bookmarkEnd w:id="102"/>
      <w:bookmarkEnd w:id="103"/>
      <w:bookmarkEnd w:id="104"/>
      <w:bookmarkEnd w:id="105"/>
      <w:proofErr w:type="spellEnd"/>
      <w:r w:rsidRPr="00BF4EBA">
        <w:t xml:space="preserve"> </w:t>
      </w:r>
    </w:p>
    <w:p w14:paraId="28870A5E" w14:textId="5B1658FA" w:rsidR="00BF4EBA" w:rsidRPr="00BF4EBA" w:rsidRDefault="00BF4EBA" w:rsidP="00000433">
      <w:pPr>
        <w:ind w:firstLine="426"/>
        <w:jc w:val="both"/>
        <w:rPr>
          <w:rStyle w:val="FontStyle11"/>
        </w:rPr>
      </w:pPr>
      <w:r w:rsidRPr="00BF4EBA">
        <w:rPr>
          <w:rStyle w:val="FontStyle11"/>
        </w:rPr>
        <w:t xml:space="preserve">Общата стойност на </w:t>
      </w:r>
      <w:r w:rsidR="00DF098E">
        <w:rPr>
          <w:rStyle w:val="FontStyle11"/>
        </w:rPr>
        <w:t>поръчката</w:t>
      </w:r>
      <w:r w:rsidRPr="00BF4EBA">
        <w:rPr>
          <w:rStyle w:val="FontStyle11"/>
        </w:rPr>
        <w:t xml:space="preserve">, съгласно бюджета на проекта, е </w:t>
      </w:r>
      <w:r w:rsidR="00000433">
        <w:rPr>
          <w:rStyle w:val="FontStyle11"/>
        </w:rPr>
        <w:t>159 166.66</w:t>
      </w:r>
      <w:r w:rsidRPr="00BF4EBA">
        <w:rPr>
          <w:rStyle w:val="FontStyle11"/>
        </w:rPr>
        <w:t xml:space="preserve"> лв. без ДДС.</w:t>
      </w:r>
    </w:p>
    <w:p w14:paraId="5FA58C24" w14:textId="77777777" w:rsidR="00BF4EBA" w:rsidRPr="00BF4EBA" w:rsidRDefault="00BF4EBA" w:rsidP="00000433">
      <w:pPr>
        <w:ind w:firstLine="426"/>
        <w:jc w:val="both"/>
        <w:rPr>
          <w:rStyle w:val="FontStyle11"/>
        </w:rPr>
      </w:pPr>
      <w:r w:rsidRPr="00BF4EBA">
        <w:rPr>
          <w:rStyle w:val="FontStyle11"/>
        </w:rPr>
        <w:t xml:space="preserve">Максималните стойности на отделните видове </w:t>
      </w:r>
      <w:proofErr w:type="spellStart"/>
      <w:r w:rsidRPr="00BF4EBA">
        <w:rPr>
          <w:rStyle w:val="FontStyle11"/>
        </w:rPr>
        <w:t>поддейности</w:t>
      </w:r>
      <w:proofErr w:type="spellEnd"/>
      <w:r w:rsidRPr="00BF4EBA">
        <w:rPr>
          <w:rStyle w:val="FontStyle11"/>
        </w:rPr>
        <w:t xml:space="preserve">, съгласно бюджета на проекта, са посочени в следната таблица: </w:t>
      </w:r>
    </w:p>
    <w:p w14:paraId="6CFE32AB" w14:textId="77777777" w:rsidR="00BF4EBA" w:rsidRPr="00BF4EBA" w:rsidRDefault="00BF4EBA" w:rsidP="00BF4EBA">
      <w:pPr>
        <w:ind w:firstLine="426"/>
        <w:rPr>
          <w:rStyle w:val="FontStyle11"/>
        </w:rPr>
      </w:pPr>
    </w:p>
    <w:tbl>
      <w:tblPr>
        <w:tblW w:w="9087" w:type="dxa"/>
        <w:tblInd w:w="55" w:type="dxa"/>
        <w:tblCellMar>
          <w:left w:w="70" w:type="dxa"/>
          <w:right w:w="70" w:type="dxa"/>
        </w:tblCellMar>
        <w:tblLook w:val="0000" w:firstRow="0" w:lastRow="0" w:firstColumn="0" w:lastColumn="0" w:noHBand="0" w:noVBand="0"/>
      </w:tblPr>
      <w:tblGrid>
        <w:gridCol w:w="472"/>
        <w:gridCol w:w="2243"/>
        <w:gridCol w:w="4530"/>
        <w:gridCol w:w="1842"/>
      </w:tblGrid>
      <w:tr w:rsidR="00BF4EBA" w:rsidRPr="00BF4EBA" w14:paraId="6F4D07FF" w14:textId="77777777" w:rsidTr="00BF4EBA">
        <w:trPr>
          <w:trHeight w:val="945"/>
        </w:trPr>
        <w:tc>
          <w:tcPr>
            <w:tcW w:w="472" w:type="dxa"/>
            <w:tcBorders>
              <w:top w:val="single" w:sz="4" w:space="0" w:color="auto"/>
              <w:left w:val="single" w:sz="4" w:space="0" w:color="auto"/>
              <w:bottom w:val="single" w:sz="4" w:space="0" w:color="auto"/>
              <w:right w:val="single" w:sz="4" w:space="0" w:color="auto"/>
            </w:tcBorders>
            <w:shd w:val="clear" w:color="auto" w:fill="C0C0C0"/>
            <w:vAlign w:val="center"/>
          </w:tcPr>
          <w:p w14:paraId="6EEAB20B" w14:textId="77777777" w:rsidR="00BF4EBA" w:rsidRPr="00BF4EBA" w:rsidRDefault="00BF4EBA" w:rsidP="00BF4EBA">
            <w:pPr>
              <w:jc w:val="center"/>
              <w:rPr>
                <w:b/>
                <w:bCs/>
                <w:sz w:val="22"/>
                <w:szCs w:val="22"/>
              </w:rPr>
            </w:pPr>
            <w:r w:rsidRPr="00BF4EBA">
              <w:rPr>
                <w:b/>
                <w:bCs/>
                <w:sz w:val="22"/>
                <w:szCs w:val="22"/>
              </w:rPr>
              <w:t>№ по ред</w:t>
            </w:r>
          </w:p>
        </w:tc>
        <w:tc>
          <w:tcPr>
            <w:tcW w:w="2243" w:type="dxa"/>
            <w:tcBorders>
              <w:top w:val="single" w:sz="4" w:space="0" w:color="auto"/>
              <w:left w:val="nil"/>
              <w:bottom w:val="single" w:sz="4" w:space="0" w:color="auto"/>
              <w:right w:val="single" w:sz="4" w:space="0" w:color="auto"/>
            </w:tcBorders>
            <w:shd w:val="clear" w:color="auto" w:fill="C0C0C0"/>
            <w:vAlign w:val="center"/>
          </w:tcPr>
          <w:p w14:paraId="3CBD4DCD" w14:textId="77777777" w:rsidR="00BF4EBA" w:rsidRPr="00BF4EBA" w:rsidRDefault="00BF4EBA" w:rsidP="00BF4EBA">
            <w:pPr>
              <w:jc w:val="center"/>
              <w:rPr>
                <w:b/>
                <w:bCs/>
                <w:sz w:val="22"/>
                <w:szCs w:val="22"/>
              </w:rPr>
            </w:pPr>
            <w:r w:rsidRPr="00BF4EBA">
              <w:rPr>
                <w:b/>
                <w:bCs/>
                <w:sz w:val="22"/>
                <w:szCs w:val="22"/>
              </w:rPr>
              <w:t>Дейност №</w:t>
            </w:r>
          </w:p>
        </w:tc>
        <w:tc>
          <w:tcPr>
            <w:tcW w:w="4530" w:type="dxa"/>
            <w:tcBorders>
              <w:top w:val="single" w:sz="4" w:space="0" w:color="auto"/>
              <w:left w:val="nil"/>
              <w:bottom w:val="single" w:sz="4" w:space="0" w:color="auto"/>
              <w:right w:val="single" w:sz="4" w:space="0" w:color="auto"/>
            </w:tcBorders>
            <w:shd w:val="clear" w:color="auto" w:fill="C0C0C0"/>
            <w:vAlign w:val="center"/>
          </w:tcPr>
          <w:p w14:paraId="455E8A6A" w14:textId="77777777" w:rsidR="00BF4EBA" w:rsidRPr="00BF4EBA" w:rsidRDefault="00BF4EBA" w:rsidP="00BF4EBA">
            <w:pPr>
              <w:jc w:val="center"/>
              <w:rPr>
                <w:b/>
                <w:bCs/>
              </w:rPr>
            </w:pPr>
            <w:r w:rsidRPr="00BF4EBA">
              <w:rPr>
                <w:b/>
                <w:bCs/>
              </w:rPr>
              <w:t>Наименование на дейност и под-дейност</w:t>
            </w:r>
          </w:p>
        </w:tc>
        <w:tc>
          <w:tcPr>
            <w:tcW w:w="1842" w:type="dxa"/>
            <w:tcBorders>
              <w:top w:val="single" w:sz="4" w:space="0" w:color="auto"/>
              <w:left w:val="nil"/>
              <w:bottom w:val="single" w:sz="4" w:space="0" w:color="auto"/>
              <w:right w:val="single" w:sz="4" w:space="0" w:color="auto"/>
            </w:tcBorders>
            <w:shd w:val="clear" w:color="auto" w:fill="C0C0C0"/>
            <w:vAlign w:val="center"/>
          </w:tcPr>
          <w:p w14:paraId="56F0CF49" w14:textId="77777777" w:rsidR="00BF4EBA" w:rsidRPr="00BF4EBA" w:rsidRDefault="00BF4EBA" w:rsidP="00BF4EBA">
            <w:pPr>
              <w:jc w:val="center"/>
              <w:rPr>
                <w:b/>
                <w:bCs/>
              </w:rPr>
            </w:pPr>
            <w:r w:rsidRPr="00BF4EBA">
              <w:rPr>
                <w:b/>
                <w:bCs/>
              </w:rPr>
              <w:t>Цена в лева без ДДС - максимална</w:t>
            </w:r>
          </w:p>
        </w:tc>
      </w:tr>
      <w:tr w:rsidR="00BF4EBA" w:rsidRPr="00000433" w14:paraId="193999C9" w14:textId="77777777" w:rsidTr="00BF4EBA">
        <w:trPr>
          <w:trHeight w:val="993"/>
        </w:trPr>
        <w:tc>
          <w:tcPr>
            <w:tcW w:w="472" w:type="dxa"/>
            <w:tcBorders>
              <w:top w:val="nil"/>
              <w:left w:val="single" w:sz="4" w:space="0" w:color="auto"/>
              <w:bottom w:val="single" w:sz="4" w:space="0" w:color="auto"/>
              <w:right w:val="single" w:sz="4" w:space="0" w:color="auto"/>
            </w:tcBorders>
            <w:shd w:val="clear" w:color="auto" w:fill="auto"/>
            <w:vAlign w:val="center"/>
          </w:tcPr>
          <w:p w14:paraId="7938B1BA" w14:textId="77777777" w:rsidR="00BF4EBA" w:rsidRPr="00000433" w:rsidRDefault="00BF4EBA" w:rsidP="00BF4EBA">
            <w:pPr>
              <w:jc w:val="center"/>
              <w:rPr>
                <w:b/>
                <w:bCs/>
                <w:sz w:val="22"/>
                <w:szCs w:val="22"/>
              </w:rPr>
            </w:pPr>
            <w:r w:rsidRPr="00000433">
              <w:rPr>
                <w:b/>
                <w:bCs/>
                <w:sz w:val="22"/>
                <w:szCs w:val="22"/>
              </w:rPr>
              <w:t>4</w:t>
            </w:r>
          </w:p>
        </w:tc>
        <w:tc>
          <w:tcPr>
            <w:tcW w:w="2243" w:type="dxa"/>
            <w:tcBorders>
              <w:top w:val="nil"/>
              <w:left w:val="nil"/>
              <w:bottom w:val="single" w:sz="4" w:space="0" w:color="auto"/>
              <w:right w:val="single" w:sz="4" w:space="0" w:color="auto"/>
            </w:tcBorders>
            <w:shd w:val="clear" w:color="auto" w:fill="auto"/>
            <w:vAlign w:val="center"/>
          </w:tcPr>
          <w:p w14:paraId="0F072296" w14:textId="77777777" w:rsidR="00BF4EBA" w:rsidRPr="00000433" w:rsidRDefault="00BF4EBA" w:rsidP="00BF4EBA">
            <w:pPr>
              <w:jc w:val="center"/>
              <w:rPr>
                <w:b/>
                <w:bCs/>
                <w:sz w:val="22"/>
                <w:szCs w:val="22"/>
              </w:rPr>
            </w:pPr>
            <w:proofErr w:type="spellStart"/>
            <w:r w:rsidRPr="00000433">
              <w:rPr>
                <w:b/>
                <w:bCs/>
                <w:sz w:val="22"/>
                <w:szCs w:val="22"/>
              </w:rPr>
              <w:t>Поддейност</w:t>
            </w:r>
            <w:proofErr w:type="spellEnd"/>
            <w:r w:rsidRPr="00000433">
              <w:rPr>
                <w:b/>
                <w:bCs/>
                <w:sz w:val="22"/>
                <w:szCs w:val="22"/>
              </w:rPr>
              <w:t xml:space="preserve"> 1. </w:t>
            </w:r>
          </w:p>
        </w:tc>
        <w:tc>
          <w:tcPr>
            <w:tcW w:w="4530" w:type="dxa"/>
            <w:tcBorders>
              <w:top w:val="nil"/>
              <w:left w:val="nil"/>
              <w:bottom w:val="single" w:sz="4" w:space="0" w:color="auto"/>
              <w:right w:val="single" w:sz="4" w:space="0" w:color="auto"/>
            </w:tcBorders>
            <w:shd w:val="clear" w:color="auto" w:fill="auto"/>
            <w:vAlign w:val="center"/>
          </w:tcPr>
          <w:p w14:paraId="1FC68B44" w14:textId="77777777" w:rsidR="00BF4EBA" w:rsidRPr="00000433" w:rsidRDefault="00BF4EBA" w:rsidP="00BF4EBA">
            <w:r w:rsidRPr="00000433">
              <w:t>Доставка и инсталиране на хардуерна платформа за виртуализация, който да  поддържа достъпа до платформата</w:t>
            </w:r>
          </w:p>
        </w:tc>
        <w:tc>
          <w:tcPr>
            <w:tcW w:w="1842" w:type="dxa"/>
            <w:tcBorders>
              <w:top w:val="nil"/>
              <w:left w:val="nil"/>
              <w:bottom w:val="single" w:sz="4" w:space="0" w:color="auto"/>
              <w:right w:val="single" w:sz="4" w:space="0" w:color="auto"/>
            </w:tcBorders>
            <w:shd w:val="clear" w:color="auto" w:fill="auto"/>
            <w:vAlign w:val="center"/>
          </w:tcPr>
          <w:p w14:paraId="1ED98114" w14:textId="3668EFC8" w:rsidR="00BF4EBA" w:rsidRPr="00000433" w:rsidRDefault="00000433" w:rsidP="00BF4EBA">
            <w:pPr>
              <w:jc w:val="right"/>
              <w:rPr>
                <w:b/>
                <w:bCs/>
              </w:rPr>
            </w:pPr>
            <w:r w:rsidRPr="00000433">
              <w:rPr>
                <w:b/>
                <w:bCs/>
              </w:rPr>
              <w:t>133 333.33</w:t>
            </w:r>
          </w:p>
        </w:tc>
      </w:tr>
      <w:tr w:rsidR="00BF4EBA" w:rsidRPr="00BF4EBA" w14:paraId="53E0955E" w14:textId="77777777" w:rsidTr="00BF4EBA">
        <w:trPr>
          <w:trHeight w:val="1121"/>
        </w:trPr>
        <w:tc>
          <w:tcPr>
            <w:tcW w:w="472" w:type="dxa"/>
            <w:tcBorders>
              <w:top w:val="nil"/>
              <w:left w:val="single" w:sz="4" w:space="0" w:color="auto"/>
              <w:bottom w:val="single" w:sz="4" w:space="0" w:color="auto"/>
              <w:right w:val="single" w:sz="4" w:space="0" w:color="auto"/>
            </w:tcBorders>
            <w:shd w:val="clear" w:color="auto" w:fill="auto"/>
            <w:vAlign w:val="center"/>
          </w:tcPr>
          <w:p w14:paraId="51CD6C5D" w14:textId="77777777" w:rsidR="00BF4EBA" w:rsidRPr="00000433" w:rsidRDefault="00BF4EBA" w:rsidP="00BF4EBA">
            <w:pPr>
              <w:jc w:val="center"/>
              <w:rPr>
                <w:b/>
                <w:bCs/>
                <w:sz w:val="22"/>
                <w:szCs w:val="22"/>
              </w:rPr>
            </w:pPr>
            <w:r w:rsidRPr="00000433">
              <w:rPr>
                <w:b/>
                <w:bCs/>
                <w:sz w:val="22"/>
                <w:szCs w:val="22"/>
              </w:rPr>
              <w:t>5</w:t>
            </w:r>
          </w:p>
        </w:tc>
        <w:tc>
          <w:tcPr>
            <w:tcW w:w="2243" w:type="dxa"/>
            <w:tcBorders>
              <w:top w:val="nil"/>
              <w:left w:val="nil"/>
              <w:bottom w:val="single" w:sz="4" w:space="0" w:color="auto"/>
              <w:right w:val="single" w:sz="4" w:space="0" w:color="auto"/>
            </w:tcBorders>
            <w:shd w:val="clear" w:color="auto" w:fill="auto"/>
            <w:vAlign w:val="center"/>
          </w:tcPr>
          <w:p w14:paraId="50C31C67" w14:textId="77777777" w:rsidR="00BF4EBA" w:rsidRPr="00000433" w:rsidRDefault="00BF4EBA" w:rsidP="00BF4EBA">
            <w:pPr>
              <w:jc w:val="center"/>
              <w:rPr>
                <w:b/>
                <w:bCs/>
                <w:sz w:val="22"/>
                <w:szCs w:val="22"/>
              </w:rPr>
            </w:pPr>
            <w:proofErr w:type="spellStart"/>
            <w:r w:rsidRPr="00000433">
              <w:rPr>
                <w:b/>
                <w:bCs/>
                <w:sz w:val="22"/>
                <w:szCs w:val="22"/>
              </w:rPr>
              <w:t>Поддейност</w:t>
            </w:r>
            <w:proofErr w:type="spellEnd"/>
            <w:r w:rsidRPr="00000433">
              <w:rPr>
                <w:b/>
                <w:bCs/>
                <w:sz w:val="22"/>
                <w:szCs w:val="22"/>
              </w:rPr>
              <w:t xml:space="preserve"> 2. </w:t>
            </w:r>
          </w:p>
        </w:tc>
        <w:tc>
          <w:tcPr>
            <w:tcW w:w="4530" w:type="dxa"/>
            <w:tcBorders>
              <w:top w:val="nil"/>
              <w:left w:val="nil"/>
              <w:bottom w:val="single" w:sz="4" w:space="0" w:color="auto"/>
              <w:right w:val="single" w:sz="4" w:space="0" w:color="auto"/>
            </w:tcBorders>
            <w:shd w:val="clear" w:color="auto" w:fill="auto"/>
            <w:vAlign w:val="center"/>
          </w:tcPr>
          <w:p w14:paraId="6825757B" w14:textId="77777777" w:rsidR="00BF4EBA" w:rsidRPr="00000433" w:rsidRDefault="00BF4EBA" w:rsidP="00BF4EBA">
            <w:r w:rsidRPr="00000433">
              <w:t>Доставка и инсталиране на софтуер за виртуализация и управление на хардуерната платформа</w:t>
            </w:r>
          </w:p>
        </w:tc>
        <w:tc>
          <w:tcPr>
            <w:tcW w:w="1842" w:type="dxa"/>
            <w:tcBorders>
              <w:top w:val="nil"/>
              <w:left w:val="nil"/>
              <w:bottom w:val="single" w:sz="4" w:space="0" w:color="auto"/>
              <w:right w:val="single" w:sz="4" w:space="0" w:color="auto"/>
            </w:tcBorders>
            <w:shd w:val="clear" w:color="auto" w:fill="auto"/>
            <w:vAlign w:val="center"/>
          </w:tcPr>
          <w:p w14:paraId="0018D644" w14:textId="192D557B" w:rsidR="00BF4EBA" w:rsidRPr="00BF4EBA" w:rsidRDefault="00000433" w:rsidP="00BF4EBA">
            <w:pPr>
              <w:jc w:val="right"/>
              <w:rPr>
                <w:b/>
                <w:bCs/>
              </w:rPr>
            </w:pPr>
            <w:r w:rsidRPr="00000433">
              <w:rPr>
                <w:b/>
                <w:bCs/>
              </w:rPr>
              <w:t>25 833.33</w:t>
            </w:r>
          </w:p>
        </w:tc>
      </w:tr>
      <w:tr w:rsidR="00BF4EBA" w:rsidRPr="00BF4EBA" w14:paraId="60A2357E" w14:textId="77777777" w:rsidTr="00BF4EBA">
        <w:trPr>
          <w:trHeight w:val="131"/>
        </w:trPr>
        <w:tc>
          <w:tcPr>
            <w:tcW w:w="472" w:type="dxa"/>
            <w:tcBorders>
              <w:top w:val="nil"/>
              <w:left w:val="single" w:sz="4" w:space="0" w:color="auto"/>
              <w:bottom w:val="single" w:sz="4" w:space="0" w:color="auto"/>
              <w:right w:val="single" w:sz="4" w:space="0" w:color="auto"/>
            </w:tcBorders>
            <w:shd w:val="clear" w:color="auto" w:fill="auto"/>
            <w:noWrap/>
            <w:vAlign w:val="bottom"/>
          </w:tcPr>
          <w:p w14:paraId="69CF067F" w14:textId="77777777" w:rsidR="00BF4EBA" w:rsidRPr="00BF4EBA" w:rsidRDefault="00BF4EBA" w:rsidP="00BF4EBA">
            <w:pPr>
              <w:rPr>
                <w:b/>
                <w:bCs/>
              </w:rPr>
            </w:pPr>
            <w:r w:rsidRPr="00BF4EBA">
              <w:rPr>
                <w:b/>
                <w:bCs/>
              </w:rPr>
              <w:t> </w:t>
            </w:r>
          </w:p>
        </w:tc>
        <w:tc>
          <w:tcPr>
            <w:tcW w:w="2243" w:type="dxa"/>
            <w:tcBorders>
              <w:top w:val="nil"/>
              <w:left w:val="nil"/>
              <w:bottom w:val="single" w:sz="4" w:space="0" w:color="auto"/>
              <w:right w:val="nil"/>
            </w:tcBorders>
            <w:shd w:val="clear" w:color="auto" w:fill="auto"/>
            <w:noWrap/>
            <w:vAlign w:val="bottom"/>
          </w:tcPr>
          <w:p w14:paraId="46392B53" w14:textId="77777777" w:rsidR="00BF4EBA" w:rsidRPr="00BF4EBA" w:rsidRDefault="00BF4EBA" w:rsidP="00BF4EBA">
            <w:pPr>
              <w:jc w:val="center"/>
              <w:rPr>
                <w:b/>
                <w:bCs/>
              </w:rPr>
            </w:pPr>
            <w:r w:rsidRPr="00BF4EBA">
              <w:rPr>
                <w:b/>
                <w:bCs/>
              </w:rPr>
              <w:t> </w:t>
            </w:r>
          </w:p>
        </w:tc>
        <w:tc>
          <w:tcPr>
            <w:tcW w:w="4530" w:type="dxa"/>
            <w:tcBorders>
              <w:top w:val="nil"/>
              <w:left w:val="single" w:sz="4" w:space="0" w:color="auto"/>
              <w:bottom w:val="single" w:sz="4" w:space="0" w:color="auto"/>
              <w:right w:val="nil"/>
            </w:tcBorders>
            <w:shd w:val="clear" w:color="auto" w:fill="auto"/>
            <w:vAlign w:val="bottom"/>
          </w:tcPr>
          <w:p w14:paraId="1A3FEC4A" w14:textId="77777777" w:rsidR="00BF4EBA" w:rsidRPr="00BF4EBA" w:rsidRDefault="00BF4EBA" w:rsidP="00BF4EBA">
            <w:pPr>
              <w:rPr>
                <w:b/>
                <w:bCs/>
              </w:rPr>
            </w:pPr>
            <w:r w:rsidRPr="00BF4EBA">
              <w:rPr>
                <w:b/>
                <w:bCs/>
              </w:rPr>
              <w:t>ОБЩО:</w:t>
            </w:r>
          </w:p>
        </w:tc>
        <w:tc>
          <w:tcPr>
            <w:tcW w:w="184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158A442" w14:textId="50FC3E0D" w:rsidR="00BF4EBA" w:rsidRPr="00BF4EBA" w:rsidRDefault="00000433" w:rsidP="00BF4EBA">
            <w:pPr>
              <w:jc w:val="right"/>
              <w:rPr>
                <w:bCs/>
              </w:rPr>
            </w:pPr>
            <w:r>
              <w:rPr>
                <w:b/>
                <w:bCs/>
              </w:rPr>
              <w:t>159 166. 66</w:t>
            </w:r>
          </w:p>
        </w:tc>
      </w:tr>
    </w:tbl>
    <w:p w14:paraId="49EB017C" w14:textId="77777777" w:rsidR="00BF4EBA" w:rsidRPr="00BF4EBA" w:rsidRDefault="00BF4EBA" w:rsidP="00BF4EBA">
      <w:pPr>
        <w:ind w:firstLine="426"/>
      </w:pPr>
    </w:p>
    <w:p w14:paraId="57A4BC4D" w14:textId="77777777" w:rsidR="00BF4EBA" w:rsidRPr="00BF4EBA" w:rsidRDefault="00BF4EBA" w:rsidP="00AF7157">
      <w:pPr>
        <w:pStyle w:val="Heading2"/>
        <w:numPr>
          <w:ilvl w:val="0"/>
          <w:numId w:val="35"/>
        </w:numPr>
      </w:pPr>
      <w:bookmarkStart w:id="106" w:name="_Toc386965530"/>
      <w:bookmarkStart w:id="107" w:name="_Toc266289444"/>
      <w:r w:rsidRPr="00BF4EBA">
        <w:t>Приложения</w:t>
      </w:r>
      <w:bookmarkEnd w:id="106"/>
      <w:bookmarkEnd w:id="107"/>
    </w:p>
    <w:p w14:paraId="65D8B009" w14:textId="77777777" w:rsidR="00BF4EBA" w:rsidRPr="00BF4EBA" w:rsidRDefault="00BF4EBA" w:rsidP="00BF4EBA">
      <w:pPr>
        <w:ind w:firstLine="426"/>
      </w:pPr>
    </w:p>
    <w:p w14:paraId="44E62FD9" w14:textId="77777777" w:rsidR="00BF4EBA" w:rsidRPr="00BF4EBA" w:rsidRDefault="00BF4EBA" w:rsidP="00CC7B69">
      <w:pPr>
        <w:jc w:val="right"/>
        <w:rPr>
          <w:lang w:val="en-US"/>
        </w:rPr>
      </w:pPr>
      <w:r w:rsidRPr="00BF4EBA">
        <w:br w:type="page"/>
      </w:r>
    </w:p>
    <w:p w14:paraId="4DC664DC" w14:textId="77777777" w:rsidR="00BF4EBA" w:rsidRPr="00F37378" w:rsidRDefault="00BF4EBA" w:rsidP="00AF7157">
      <w:pPr>
        <w:pStyle w:val="Heading2"/>
        <w:jc w:val="right"/>
      </w:pPr>
      <w:bookmarkStart w:id="108" w:name="_Toc266289445"/>
      <w:r w:rsidRPr="00F37378">
        <w:lastRenderedPageBreak/>
        <w:t>Приложение ТС1:</w:t>
      </w:r>
      <w:bookmarkEnd w:id="108"/>
    </w:p>
    <w:p w14:paraId="4F181B45" w14:textId="77777777" w:rsidR="00BF4EBA" w:rsidRPr="00BF4EBA" w:rsidRDefault="00BF4EBA" w:rsidP="00AF7157">
      <w:pPr>
        <w:pStyle w:val="Heading2"/>
      </w:pPr>
    </w:p>
    <w:p w14:paraId="6ADB0D9D" w14:textId="56B48344" w:rsidR="00BF4EBA" w:rsidRPr="00BF4EBA" w:rsidRDefault="00BF4EBA" w:rsidP="00AF7157">
      <w:pPr>
        <w:pStyle w:val="Heading2"/>
        <w:jc w:val="center"/>
      </w:pPr>
      <w:bookmarkStart w:id="109" w:name="_Toc266289446"/>
      <w:r w:rsidRPr="00BF4EBA">
        <w:t xml:space="preserve">Детайлна спецификация на </w:t>
      </w:r>
      <w:r w:rsidR="00B2674D" w:rsidRPr="00BF4EBA">
        <w:t>хардуерна платформа за виртуализация, ко</w:t>
      </w:r>
      <w:r w:rsidR="00B2674D">
        <w:t>я</w:t>
      </w:r>
      <w:r w:rsidR="00B2674D" w:rsidRPr="00BF4EBA">
        <w:t xml:space="preserve">то да  поддържа достъпа до </w:t>
      </w:r>
      <w:r w:rsidR="00B2674D" w:rsidRPr="00AA2B1D">
        <w:rPr>
          <w:rFonts w:eastAsia="Calibri"/>
        </w:rPr>
        <w:t>електронн</w:t>
      </w:r>
      <w:r w:rsidR="00B2674D">
        <w:rPr>
          <w:rFonts w:eastAsia="Calibri"/>
        </w:rPr>
        <w:t>ат</w:t>
      </w:r>
      <w:r w:rsidR="00B2674D" w:rsidRPr="00AA2B1D">
        <w:rPr>
          <w:rFonts w:eastAsia="Calibri"/>
        </w:rPr>
        <w:t>а платформа за управление на учебния процес и провеждане на иновативни електронни, уеб-базирани и дистанционни обучения</w:t>
      </w:r>
      <w:bookmarkEnd w:id="109"/>
    </w:p>
    <w:p w14:paraId="35A6E806" w14:textId="77777777" w:rsidR="00DF098E" w:rsidRDefault="00DF098E" w:rsidP="00DF098E"/>
    <w:p w14:paraId="151658E7" w14:textId="77777777" w:rsidR="00DF098E" w:rsidRPr="00BF4EBA" w:rsidRDefault="00DF098E" w:rsidP="00DF098E">
      <w:pPr>
        <w:rPr>
          <w:b/>
        </w:rPr>
      </w:pPr>
      <w:r w:rsidRPr="00BF4EBA">
        <w:rPr>
          <w:b/>
        </w:rPr>
        <w:t xml:space="preserve">1. Доставка и пускане в експлоатация на сървърно </w:t>
      </w:r>
      <w:proofErr w:type="spellStart"/>
      <w:r w:rsidRPr="00BF4EBA">
        <w:rPr>
          <w:b/>
        </w:rPr>
        <w:t>шаси</w:t>
      </w:r>
      <w:proofErr w:type="spellEnd"/>
      <w:r w:rsidRPr="00BF4EBA">
        <w:rPr>
          <w:b/>
        </w:rPr>
        <w:t xml:space="preserve"> тип „</w:t>
      </w:r>
      <w:proofErr w:type="spellStart"/>
      <w:r w:rsidRPr="00BF4EBA">
        <w:rPr>
          <w:b/>
        </w:rPr>
        <w:t>блейд</w:t>
      </w:r>
      <w:proofErr w:type="spellEnd"/>
      <w:r w:rsidRPr="00BF4EBA">
        <w:rPr>
          <w:b/>
        </w:rPr>
        <w:t>“ – 1 бр.</w:t>
      </w:r>
    </w:p>
    <w:p w14:paraId="155D43B4" w14:textId="77777777" w:rsidR="00DF098E" w:rsidRPr="00BF4EBA" w:rsidRDefault="00DF098E" w:rsidP="00DF098E"/>
    <w:tbl>
      <w:tblPr>
        <w:tblW w:w="9781" w:type="dxa"/>
        <w:tblInd w:w="-459" w:type="dxa"/>
        <w:tblLook w:val="00A0" w:firstRow="1" w:lastRow="0" w:firstColumn="1" w:lastColumn="0" w:noHBand="0" w:noVBand="0"/>
      </w:tblPr>
      <w:tblGrid>
        <w:gridCol w:w="2516"/>
        <w:gridCol w:w="7265"/>
      </w:tblGrid>
      <w:tr w:rsidR="00DF098E" w:rsidRPr="006C267E" w14:paraId="61EDC329" w14:textId="77777777" w:rsidTr="00DF098E">
        <w:trPr>
          <w:trHeight w:val="302"/>
          <w:tblHeader/>
        </w:trPr>
        <w:tc>
          <w:tcPr>
            <w:tcW w:w="2516" w:type="dxa"/>
            <w:tcBorders>
              <w:top w:val="single" w:sz="4" w:space="0" w:color="auto"/>
              <w:left w:val="single" w:sz="4" w:space="0" w:color="auto"/>
              <w:bottom w:val="single" w:sz="4" w:space="0" w:color="auto"/>
              <w:right w:val="single" w:sz="4" w:space="0" w:color="auto"/>
            </w:tcBorders>
            <w:shd w:val="clear" w:color="auto" w:fill="4F81BD" w:themeFill="accent1"/>
          </w:tcPr>
          <w:p w14:paraId="35FB0331" w14:textId="77777777" w:rsidR="00DF098E" w:rsidRPr="006C267E" w:rsidRDefault="00DF098E" w:rsidP="00AA2B1D">
            <w:pPr>
              <w:rPr>
                <w:b/>
              </w:rPr>
            </w:pPr>
            <w:r w:rsidRPr="006C267E">
              <w:rPr>
                <w:b/>
              </w:rPr>
              <w:t>Параметър</w:t>
            </w:r>
          </w:p>
        </w:tc>
        <w:tc>
          <w:tcPr>
            <w:tcW w:w="7265"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79B64E7B" w14:textId="77777777" w:rsidR="00DF098E" w:rsidRPr="006C267E" w:rsidRDefault="00DF098E" w:rsidP="00AA2B1D">
            <w:pPr>
              <w:rPr>
                <w:b/>
              </w:rPr>
            </w:pPr>
            <w:r w:rsidRPr="006C267E">
              <w:rPr>
                <w:b/>
              </w:rPr>
              <w:t xml:space="preserve">Минимални технически изисквания за </w:t>
            </w:r>
            <w:proofErr w:type="spellStart"/>
            <w:r w:rsidRPr="006C267E">
              <w:rPr>
                <w:b/>
              </w:rPr>
              <w:t>блейд-шаси</w:t>
            </w:r>
            <w:proofErr w:type="spellEnd"/>
            <w:r w:rsidRPr="006C267E">
              <w:rPr>
                <w:b/>
              </w:rPr>
              <w:t>:</w:t>
            </w:r>
          </w:p>
        </w:tc>
      </w:tr>
      <w:tr w:rsidR="00DF098E" w:rsidRPr="00BF4EBA" w14:paraId="20E1375F" w14:textId="77777777" w:rsidTr="00DF098E">
        <w:trPr>
          <w:trHeight w:val="630"/>
        </w:trPr>
        <w:tc>
          <w:tcPr>
            <w:tcW w:w="2516" w:type="dxa"/>
            <w:tcBorders>
              <w:top w:val="single" w:sz="4" w:space="0" w:color="auto"/>
              <w:left w:val="single" w:sz="4" w:space="0" w:color="auto"/>
              <w:bottom w:val="single" w:sz="4" w:space="0" w:color="auto"/>
              <w:right w:val="single" w:sz="4" w:space="0" w:color="auto"/>
            </w:tcBorders>
            <w:shd w:val="clear" w:color="auto" w:fill="auto"/>
          </w:tcPr>
          <w:p w14:paraId="7964ED1C" w14:textId="77777777" w:rsidR="00DF098E" w:rsidRPr="00BF4EBA" w:rsidRDefault="00DF098E" w:rsidP="00AA2B1D">
            <w:pPr>
              <w:rPr>
                <w:bCs/>
              </w:rPr>
            </w:pPr>
            <w:r w:rsidRPr="00BF4EBA">
              <w:rPr>
                <w:bCs/>
              </w:rPr>
              <w:t>Производител, модел, адрес на описанието му в сайта на производителя</w:t>
            </w:r>
          </w:p>
        </w:tc>
        <w:tc>
          <w:tcPr>
            <w:tcW w:w="7265" w:type="dxa"/>
            <w:tcBorders>
              <w:top w:val="single" w:sz="4" w:space="0" w:color="auto"/>
              <w:left w:val="single" w:sz="4" w:space="0" w:color="auto"/>
              <w:bottom w:val="single" w:sz="4" w:space="0" w:color="auto"/>
              <w:right w:val="single" w:sz="4" w:space="0" w:color="auto"/>
            </w:tcBorders>
            <w:shd w:val="clear" w:color="auto" w:fill="auto"/>
            <w:noWrap/>
          </w:tcPr>
          <w:p w14:paraId="2FE9369F" w14:textId="77777777" w:rsidR="00DF098E" w:rsidRPr="00BF4EBA" w:rsidRDefault="00DF098E" w:rsidP="00AA2B1D">
            <w:pPr>
              <w:rPr>
                <w:b/>
              </w:rPr>
            </w:pPr>
            <w:r w:rsidRPr="00BF4EBA">
              <w:rPr>
                <w:bCs/>
              </w:rPr>
              <w:t>Да се посочат</w:t>
            </w:r>
          </w:p>
        </w:tc>
      </w:tr>
      <w:tr w:rsidR="00DF098E" w:rsidRPr="00BF4EBA" w14:paraId="0B156EF1" w14:textId="77777777" w:rsidTr="00DF098E">
        <w:tblPrEx>
          <w:tblCellMar>
            <w:left w:w="70" w:type="dxa"/>
            <w:right w:w="70" w:type="dxa"/>
          </w:tblCellMar>
        </w:tblPrEx>
        <w:trPr>
          <w:trHeight w:val="394"/>
        </w:trPr>
        <w:tc>
          <w:tcPr>
            <w:tcW w:w="2516" w:type="dxa"/>
            <w:tcBorders>
              <w:top w:val="single" w:sz="4" w:space="0" w:color="auto"/>
              <w:left w:val="single" w:sz="4" w:space="0" w:color="auto"/>
              <w:bottom w:val="single" w:sz="4" w:space="0" w:color="auto"/>
              <w:right w:val="single" w:sz="4" w:space="0" w:color="auto"/>
            </w:tcBorders>
          </w:tcPr>
          <w:p w14:paraId="7B160788" w14:textId="77777777" w:rsidR="00DF098E" w:rsidRPr="00BF4EBA" w:rsidRDefault="00DF098E" w:rsidP="00AA2B1D">
            <w:pPr>
              <w:pStyle w:val="ListParagraph"/>
              <w:tabs>
                <w:tab w:val="left" w:pos="567"/>
              </w:tabs>
              <w:spacing w:before="120"/>
              <w:ind w:left="0"/>
              <w:contextualSpacing w:val="0"/>
            </w:pPr>
            <w:r w:rsidRPr="00BF4EBA">
              <w:t>Архитектура</w:t>
            </w:r>
          </w:p>
        </w:tc>
        <w:tc>
          <w:tcPr>
            <w:tcW w:w="7265" w:type="dxa"/>
            <w:tcBorders>
              <w:top w:val="single" w:sz="4" w:space="0" w:color="auto"/>
              <w:left w:val="single" w:sz="4" w:space="0" w:color="auto"/>
              <w:bottom w:val="single" w:sz="4" w:space="0" w:color="auto"/>
              <w:right w:val="single" w:sz="4" w:space="0" w:color="auto"/>
            </w:tcBorders>
            <w:noWrap/>
          </w:tcPr>
          <w:p w14:paraId="172BEC50" w14:textId="77777777" w:rsidR="00DF098E" w:rsidRPr="00B2674D" w:rsidRDefault="00DF098E" w:rsidP="00AA2B1D">
            <w:pPr>
              <w:pStyle w:val="ListParagraph"/>
              <w:tabs>
                <w:tab w:val="left" w:pos="567"/>
              </w:tabs>
              <w:spacing w:before="120"/>
              <w:ind w:left="0"/>
              <w:contextualSpacing w:val="0"/>
            </w:pPr>
            <w:r w:rsidRPr="00B2674D">
              <w:t>Модулна архитектура, без нерезервирани критични компоненти, за вграждане в стандартен 19" компютърен шкаф;</w:t>
            </w:r>
          </w:p>
        </w:tc>
      </w:tr>
      <w:tr w:rsidR="00DF098E" w:rsidRPr="00BF4EBA" w14:paraId="21AC30C9" w14:textId="77777777" w:rsidTr="00DF098E">
        <w:tblPrEx>
          <w:tblCellMar>
            <w:left w:w="70" w:type="dxa"/>
            <w:right w:w="70" w:type="dxa"/>
          </w:tblCellMar>
        </w:tblPrEx>
        <w:trPr>
          <w:trHeight w:val="349"/>
        </w:trPr>
        <w:tc>
          <w:tcPr>
            <w:tcW w:w="2516" w:type="dxa"/>
            <w:tcBorders>
              <w:top w:val="nil"/>
              <w:left w:val="single" w:sz="4" w:space="0" w:color="auto"/>
              <w:bottom w:val="single" w:sz="4" w:space="0" w:color="auto"/>
              <w:right w:val="single" w:sz="4" w:space="0" w:color="auto"/>
            </w:tcBorders>
          </w:tcPr>
          <w:p w14:paraId="504DB7AA" w14:textId="77777777" w:rsidR="00DF098E" w:rsidRPr="00BF4EBA" w:rsidRDefault="00DF098E" w:rsidP="00AA2B1D">
            <w:pPr>
              <w:pStyle w:val="ListParagraph"/>
              <w:spacing w:before="120"/>
              <w:ind w:left="0"/>
              <w:contextualSpacing w:val="0"/>
            </w:pPr>
            <w:r w:rsidRPr="00BF4EBA">
              <w:t>Захранващи и охлаждащи модули</w:t>
            </w:r>
          </w:p>
        </w:tc>
        <w:tc>
          <w:tcPr>
            <w:tcW w:w="7265" w:type="dxa"/>
            <w:tcBorders>
              <w:top w:val="nil"/>
              <w:left w:val="single" w:sz="4" w:space="0" w:color="auto"/>
              <w:bottom w:val="single" w:sz="4" w:space="0" w:color="auto"/>
              <w:right w:val="single" w:sz="4" w:space="0" w:color="auto"/>
            </w:tcBorders>
            <w:noWrap/>
            <w:vAlign w:val="center"/>
          </w:tcPr>
          <w:p w14:paraId="508BE3BA" w14:textId="77777777" w:rsidR="00DF098E" w:rsidRPr="00B2674D" w:rsidRDefault="00DF098E" w:rsidP="00AA2B1D">
            <w:pPr>
              <w:pStyle w:val="ListParagraph"/>
              <w:spacing w:before="120"/>
              <w:ind w:left="0"/>
              <w:contextualSpacing w:val="0"/>
            </w:pPr>
            <w:r w:rsidRPr="00B2674D">
              <w:t>Модулна архитектура, с поддръжка на резервирани захранвания с максимална мощност 2500</w:t>
            </w:r>
            <w:r w:rsidRPr="00B2674D">
              <w:rPr>
                <w:lang w:val="en-US"/>
              </w:rPr>
              <w:t>W</w:t>
            </w:r>
            <w:r w:rsidRPr="00B2674D">
              <w:t xml:space="preserve"> за брой, вентилатори със </w:t>
            </w:r>
            <w:proofErr w:type="spellStart"/>
            <w:r w:rsidRPr="00B2674D">
              <w:t>зонирано</w:t>
            </w:r>
            <w:proofErr w:type="spellEnd"/>
            <w:r w:rsidRPr="00B2674D">
              <w:t xml:space="preserve"> охлаждане и комуникационни модули;</w:t>
            </w:r>
          </w:p>
        </w:tc>
      </w:tr>
      <w:tr w:rsidR="00DF098E" w:rsidRPr="00BF4EBA" w14:paraId="6764C6AA" w14:textId="77777777" w:rsidTr="00DF098E">
        <w:tblPrEx>
          <w:tblCellMar>
            <w:left w:w="70" w:type="dxa"/>
            <w:right w:w="70" w:type="dxa"/>
          </w:tblCellMar>
        </w:tblPrEx>
        <w:trPr>
          <w:trHeight w:val="349"/>
        </w:trPr>
        <w:tc>
          <w:tcPr>
            <w:tcW w:w="2516" w:type="dxa"/>
            <w:tcBorders>
              <w:top w:val="nil"/>
              <w:left w:val="single" w:sz="4" w:space="0" w:color="auto"/>
              <w:bottom w:val="single" w:sz="4" w:space="0" w:color="auto"/>
              <w:right w:val="single" w:sz="4" w:space="0" w:color="auto"/>
            </w:tcBorders>
          </w:tcPr>
          <w:p w14:paraId="65D85D2B" w14:textId="77777777" w:rsidR="00DF098E" w:rsidRPr="00BF4EBA" w:rsidRDefault="00DF098E" w:rsidP="00AA2B1D">
            <w:pPr>
              <w:pStyle w:val="ListParagraph"/>
              <w:spacing w:before="120"/>
              <w:ind w:left="0"/>
              <w:contextualSpacing w:val="0"/>
            </w:pPr>
            <w:r w:rsidRPr="00BF4EBA">
              <w:t>Надграждане</w:t>
            </w:r>
          </w:p>
        </w:tc>
        <w:tc>
          <w:tcPr>
            <w:tcW w:w="7265" w:type="dxa"/>
            <w:tcBorders>
              <w:top w:val="nil"/>
              <w:left w:val="single" w:sz="4" w:space="0" w:color="auto"/>
              <w:bottom w:val="single" w:sz="4" w:space="0" w:color="auto"/>
              <w:right w:val="single" w:sz="4" w:space="0" w:color="auto"/>
            </w:tcBorders>
            <w:noWrap/>
            <w:vAlign w:val="center"/>
          </w:tcPr>
          <w:p w14:paraId="387B25C5" w14:textId="77777777" w:rsidR="00DF098E" w:rsidRPr="00B2674D" w:rsidRDefault="00DF098E" w:rsidP="00AA2B1D">
            <w:pPr>
              <w:pStyle w:val="ListParagraph"/>
              <w:spacing w:before="120"/>
              <w:ind w:left="0"/>
              <w:contextualSpacing w:val="0"/>
            </w:pPr>
            <w:r w:rsidRPr="00B2674D">
              <w:t>Сървърната ферма да е скалируема и да позволява надграждане и добавяне на сървъри до максимум 28 броя,  без спиране на работа.</w:t>
            </w:r>
          </w:p>
        </w:tc>
      </w:tr>
      <w:tr w:rsidR="00DF098E" w:rsidRPr="00BF4EBA" w14:paraId="78365DE3" w14:textId="77777777" w:rsidTr="00DF098E">
        <w:tblPrEx>
          <w:tblCellMar>
            <w:left w:w="70" w:type="dxa"/>
            <w:right w:w="70" w:type="dxa"/>
          </w:tblCellMar>
        </w:tblPrEx>
        <w:trPr>
          <w:trHeight w:val="349"/>
        </w:trPr>
        <w:tc>
          <w:tcPr>
            <w:tcW w:w="2516" w:type="dxa"/>
            <w:tcBorders>
              <w:top w:val="nil"/>
              <w:left w:val="single" w:sz="4" w:space="0" w:color="auto"/>
              <w:bottom w:val="single" w:sz="4" w:space="0" w:color="auto"/>
              <w:right w:val="single" w:sz="4" w:space="0" w:color="auto"/>
            </w:tcBorders>
          </w:tcPr>
          <w:p w14:paraId="20264845" w14:textId="77777777" w:rsidR="00DF098E" w:rsidRPr="00BF4EBA" w:rsidRDefault="00DF098E" w:rsidP="00AA2B1D">
            <w:pPr>
              <w:pStyle w:val="ListParagraph"/>
              <w:spacing w:before="120"/>
              <w:ind w:left="0"/>
              <w:contextualSpacing w:val="0"/>
            </w:pPr>
            <w:r w:rsidRPr="00BF4EBA">
              <w:t>Инсталирани комуникационни модули</w:t>
            </w:r>
          </w:p>
        </w:tc>
        <w:tc>
          <w:tcPr>
            <w:tcW w:w="7265" w:type="dxa"/>
            <w:tcBorders>
              <w:top w:val="nil"/>
              <w:left w:val="single" w:sz="4" w:space="0" w:color="auto"/>
              <w:bottom w:val="single" w:sz="4" w:space="0" w:color="auto"/>
              <w:right w:val="single" w:sz="4" w:space="0" w:color="auto"/>
            </w:tcBorders>
            <w:noWrap/>
            <w:vAlign w:val="center"/>
          </w:tcPr>
          <w:p w14:paraId="77AF30BE" w14:textId="77777777" w:rsidR="00DF098E" w:rsidRPr="00B2674D" w:rsidRDefault="00DF098E" w:rsidP="00AA2B1D">
            <w:pPr>
              <w:pStyle w:val="ListParagraph"/>
              <w:spacing w:before="120"/>
              <w:ind w:left="0"/>
              <w:contextualSpacing w:val="0"/>
            </w:pPr>
            <w:r w:rsidRPr="00B2674D">
              <w:t xml:space="preserve">Инсталирани мин. 2 бр. резервирани комутатора. </w:t>
            </w:r>
          </w:p>
          <w:p w14:paraId="16EDD346" w14:textId="77777777" w:rsidR="00DF098E" w:rsidRPr="00B2674D" w:rsidRDefault="00DF098E" w:rsidP="00AA2B1D">
            <w:pPr>
              <w:pStyle w:val="ListParagraph"/>
              <w:spacing w:before="120"/>
              <w:ind w:left="0"/>
              <w:contextualSpacing w:val="0"/>
            </w:pPr>
            <w:r w:rsidRPr="00B2674D">
              <w:t>Да поддържа протоколи минимум:</w:t>
            </w:r>
          </w:p>
          <w:p w14:paraId="3CCEEDA3" w14:textId="77777777" w:rsidR="00DF098E" w:rsidRPr="00B2674D" w:rsidRDefault="00DF098E" w:rsidP="00DF098E">
            <w:pPr>
              <w:pStyle w:val="ListParagraph"/>
              <w:numPr>
                <w:ilvl w:val="0"/>
                <w:numId w:val="25"/>
              </w:numPr>
              <w:spacing w:before="120"/>
              <w:contextualSpacing w:val="0"/>
            </w:pPr>
            <w:r w:rsidRPr="00B2674D">
              <w:t xml:space="preserve">1/10 </w:t>
            </w:r>
            <w:proofErr w:type="spellStart"/>
            <w:r w:rsidRPr="00B2674D">
              <w:t>Gbps</w:t>
            </w:r>
            <w:proofErr w:type="spellEnd"/>
            <w:r w:rsidRPr="00B2674D">
              <w:t xml:space="preserve"> </w:t>
            </w:r>
            <w:proofErr w:type="spellStart"/>
            <w:r w:rsidRPr="00B2674D">
              <w:t>Ethernet</w:t>
            </w:r>
            <w:proofErr w:type="spellEnd"/>
            <w:r w:rsidRPr="00B2674D">
              <w:t>;</w:t>
            </w:r>
          </w:p>
          <w:p w14:paraId="697F4B72" w14:textId="77777777" w:rsidR="00DF098E" w:rsidRPr="00B2674D" w:rsidRDefault="00DF098E" w:rsidP="00DF098E">
            <w:pPr>
              <w:pStyle w:val="ListParagraph"/>
              <w:numPr>
                <w:ilvl w:val="0"/>
                <w:numId w:val="25"/>
              </w:numPr>
              <w:spacing w:before="120"/>
              <w:contextualSpacing w:val="0"/>
            </w:pPr>
            <w:r w:rsidRPr="00B2674D">
              <w:t xml:space="preserve">1/10 </w:t>
            </w:r>
            <w:proofErr w:type="spellStart"/>
            <w:r w:rsidRPr="00B2674D">
              <w:t>Gbps</w:t>
            </w:r>
            <w:proofErr w:type="spellEnd"/>
            <w:r w:rsidRPr="00B2674D">
              <w:t xml:space="preserve"> </w:t>
            </w:r>
            <w:proofErr w:type="spellStart"/>
            <w:r w:rsidRPr="00B2674D">
              <w:t>iSCSI</w:t>
            </w:r>
            <w:proofErr w:type="spellEnd"/>
            <w:r w:rsidRPr="00B2674D">
              <w:t>;</w:t>
            </w:r>
          </w:p>
          <w:p w14:paraId="537E4E52" w14:textId="77777777" w:rsidR="00DF098E" w:rsidRPr="00B2674D" w:rsidRDefault="00DF098E" w:rsidP="00DF098E">
            <w:pPr>
              <w:pStyle w:val="ListParagraph"/>
              <w:numPr>
                <w:ilvl w:val="0"/>
                <w:numId w:val="25"/>
              </w:numPr>
              <w:spacing w:before="120"/>
              <w:contextualSpacing w:val="0"/>
            </w:pPr>
            <w:r w:rsidRPr="00B2674D">
              <w:t xml:space="preserve">1/10 </w:t>
            </w:r>
            <w:proofErr w:type="spellStart"/>
            <w:r w:rsidRPr="00B2674D">
              <w:t>Gbps</w:t>
            </w:r>
            <w:proofErr w:type="spellEnd"/>
            <w:r w:rsidRPr="00B2674D">
              <w:t xml:space="preserve"> </w:t>
            </w:r>
            <w:proofErr w:type="spellStart"/>
            <w:r w:rsidRPr="00B2674D">
              <w:t>FCoE</w:t>
            </w:r>
            <w:proofErr w:type="spellEnd"/>
            <w:r w:rsidRPr="00B2674D">
              <w:t xml:space="preserve"> </w:t>
            </w:r>
          </w:p>
          <w:p w14:paraId="2F8F8DEF" w14:textId="77777777" w:rsidR="00DF098E" w:rsidRPr="00B2674D" w:rsidRDefault="00DF098E" w:rsidP="00AA2B1D">
            <w:pPr>
              <w:pStyle w:val="ListParagraph"/>
              <w:spacing w:before="120"/>
              <w:ind w:left="0"/>
              <w:contextualSpacing w:val="0"/>
            </w:pPr>
            <w:r w:rsidRPr="00B2674D">
              <w:t>Да осигуряват връзка към външната мрежа по 2</w:t>
            </w:r>
            <w:r w:rsidRPr="00B2674D">
              <w:rPr>
                <w:lang w:val="en-US"/>
              </w:rPr>
              <w:t>x</w:t>
            </w:r>
            <w:r w:rsidRPr="00B2674D">
              <w:t>10</w:t>
            </w:r>
            <w:proofErr w:type="spellStart"/>
            <w:r w:rsidRPr="00B2674D">
              <w:rPr>
                <w:lang w:val="en-US"/>
              </w:rPr>
              <w:t>Gbps</w:t>
            </w:r>
            <w:proofErr w:type="spellEnd"/>
            <w:r w:rsidRPr="00B2674D">
              <w:t xml:space="preserve"> </w:t>
            </w:r>
            <w:r w:rsidRPr="00B2674D">
              <w:rPr>
                <w:lang w:val="en-US"/>
              </w:rPr>
              <w:t>SFP</w:t>
            </w:r>
          </w:p>
          <w:p w14:paraId="3144E41D" w14:textId="77777777" w:rsidR="00DF098E" w:rsidRPr="00B2674D" w:rsidRDefault="00DF098E" w:rsidP="00AA2B1D">
            <w:pPr>
              <w:pStyle w:val="ListParagraph"/>
              <w:spacing w:before="120"/>
              <w:ind w:left="0"/>
              <w:contextualSpacing w:val="0"/>
            </w:pPr>
            <w:r w:rsidRPr="00B2674D">
              <w:t>Да отговаря на следните минимални изисквания:</w:t>
            </w:r>
          </w:p>
          <w:p w14:paraId="3AF001A8" w14:textId="77777777" w:rsidR="00DF098E" w:rsidRPr="00B2674D" w:rsidRDefault="00DF098E" w:rsidP="00AA2B1D">
            <w:pPr>
              <w:pStyle w:val="ListParagraph"/>
              <w:spacing w:before="120"/>
              <w:ind w:left="0"/>
              <w:contextualSpacing w:val="0"/>
            </w:pPr>
            <w:r w:rsidRPr="00B2674D">
              <w:t xml:space="preserve">Минимум 42 вътрешни </w:t>
            </w:r>
            <w:proofErr w:type="spellStart"/>
            <w:r w:rsidRPr="00B2674D">
              <w:t>full-duplex</w:t>
            </w:r>
            <w:proofErr w:type="spellEnd"/>
            <w:r w:rsidRPr="00B2674D">
              <w:t xml:space="preserve"> 10 </w:t>
            </w:r>
            <w:proofErr w:type="spellStart"/>
            <w:r w:rsidRPr="00B2674D">
              <w:t>Gigabit</w:t>
            </w:r>
            <w:proofErr w:type="spellEnd"/>
            <w:r w:rsidRPr="00B2674D">
              <w:t xml:space="preserve"> </w:t>
            </w:r>
            <w:proofErr w:type="spellStart"/>
            <w:r w:rsidRPr="00B2674D">
              <w:t>porta</w:t>
            </w:r>
            <w:proofErr w:type="spellEnd"/>
          </w:p>
          <w:p w14:paraId="247C4AB2" w14:textId="77777777" w:rsidR="00DF098E" w:rsidRPr="00B2674D" w:rsidRDefault="00DF098E" w:rsidP="00AA2B1D">
            <w:pPr>
              <w:pStyle w:val="ListParagraph"/>
              <w:spacing w:before="120"/>
              <w:ind w:left="0"/>
              <w:contextualSpacing w:val="0"/>
            </w:pPr>
            <w:r w:rsidRPr="00B2674D">
              <w:t xml:space="preserve">Минимум 2 вътрешни </w:t>
            </w:r>
            <w:proofErr w:type="spellStart"/>
            <w:r w:rsidRPr="00B2674D">
              <w:t>full-duplex</w:t>
            </w:r>
            <w:proofErr w:type="spellEnd"/>
            <w:r w:rsidRPr="00B2674D">
              <w:t xml:space="preserve"> 1 </w:t>
            </w:r>
            <w:proofErr w:type="spellStart"/>
            <w:r w:rsidRPr="00B2674D">
              <w:t>GbE</w:t>
            </w:r>
            <w:proofErr w:type="spellEnd"/>
            <w:r w:rsidRPr="00B2674D">
              <w:t xml:space="preserve"> </w:t>
            </w:r>
            <w:proofErr w:type="spellStart"/>
            <w:r w:rsidRPr="00B2674D">
              <w:t>ports</w:t>
            </w:r>
            <w:proofErr w:type="spellEnd"/>
            <w:r w:rsidRPr="00B2674D">
              <w:t xml:space="preserve"> свързани към модула за управление</w:t>
            </w:r>
          </w:p>
          <w:p w14:paraId="4F4A5F23" w14:textId="77777777" w:rsidR="00DF098E" w:rsidRPr="00B2674D" w:rsidRDefault="00DF098E" w:rsidP="00AA2B1D">
            <w:pPr>
              <w:pStyle w:val="ListParagraph"/>
              <w:spacing w:before="120"/>
              <w:ind w:left="0"/>
              <w:contextualSpacing w:val="0"/>
            </w:pPr>
            <w:r w:rsidRPr="00B2674D">
              <w:t>Минимум 14 външни 10Gbps порта поддържащи 1000BASE-SX, 1000BASE-LX, 1000BASE-T, 10GBASE-SR,  10GBASE-LR, SFP+.</w:t>
            </w:r>
          </w:p>
          <w:p w14:paraId="73309EB3" w14:textId="77777777" w:rsidR="00DF098E" w:rsidRPr="00B2674D" w:rsidRDefault="00DF098E" w:rsidP="00AA2B1D">
            <w:pPr>
              <w:pStyle w:val="ListParagraph"/>
              <w:spacing w:before="120"/>
              <w:ind w:left="0"/>
              <w:contextualSpacing w:val="0"/>
            </w:pPr>
            <w:r w:rsidRPr="00B2674D">
              <w:t>Минимум 2 външни 40Gbps QSFP+ порта</w:t>
            </w:r>
          </w:p>
          <w:p w14:paraId="2B4522D4" w14:textId="77777777" w:rsidR="00DF098E" w:rsidRPr="00B2674D" w:rsidRDefault="00DF098E" w:rsidP="00AA2B1D">
            <w:pPr>
              <w:pStyle w:val="ListParagraph"/>
              <w:spacing w:before="120"/>
              <w:ind w:left="0"/>
              <w:contextualSpacing w:val="0"/>
            </w:pPr>
            <w:r w:rsidRPr="00B2674D">
              <w:t>Минимум един RS-232 сериен порт</w:t>
            </w:r>
          </w:p>
          <w:p w14:paraId="1655E4C7" w14:textId="77777777" w:rsidR="00DF098E" w:rsidRPr="00B2674D" w:rsidRDefault="00DF098E" w:rsidP="00AA2B1D">
            <w:pPr>
              <w:pStyle w:val="ListParagraph"/>
              <w:spacing w:before="120"/>
              <w:ind w:left="0"/>
              <w:contextualSpacing w:val="0"/>
            </w:pPr>
            <w:r w:rsidRPr="00B2674D">
              <w:t xml:space="preserve">Поддръжка на минимум 4095 </w:t>
            </w:r>
            <w:r w:rsidRPr="00B2674D">
              <w:rPr>
                <w:lang w:val="en-US"/>
              </w:rPr>
              <w:t>VLANs</w:t>
            </w:r>
          </w:p>
        </w:tc>
      </w:tr>
      <w:tr w:rsidR="00DF098E" w:rsidRPr="00BF4EBA" w14:paraId="2BC46C71" w14:textId="77777777" w:rsidTr="00DF098E">
        <w:tblPrEx>
          <w:tblCellMar>
            <w:left w:w="70" w:type="dxa"/>
            <w:right w:w="70" w:type="dxa"/>
          </w:tblCellMar>
        </w:tblPrEx>
        <w:trPr>
          <w:trHeight w:val="349"/>
        </w:trPr>
        <w:tc>
          <w:tcPr>
            <w:tcW w:w="2516" w:type="dxa"/>
            <w:tcBorders>
              <w:top w:val="nil"/>
              <w:left w:val="single" w:sz="4" w:space="0" w:color="auto"/>
              <w:bottom w:val="single" w:sz="4" w:space="0" w:color="auto"/>
              <w:right w:val="single" w:sz="4" w:space="0" w:color="auto"/>
            </w:tcBorders>
          </w:tcPr>
          <w:p w14:paraId="58BCC520" w14:textId="77777777" w:rsidR="00DF098E" w:rsidRPr="00BF4EBA" w:rsidRDefault="00DF098E" w:rsidP="00AA2B1D">
            <w:pPr>
              <w:pStyle w:val="ListParagraph"/>
              <w:spacing w:before="120"/>
              <w:ind w:left="0"/>
              <w:contextualSpacing w:val="0"/>
            </w:pPr>
            <w:r w:rsidRPr="00BF4EBA">
              <w:t>Окомплектовка</w:t>
            </w:r>
          </w:p>
        </w:tc>
        <w:tc>
          <w:tcPr>
            <w:tcW w:w="7265" w:type="dxa"/>
            <w:tcBorders>
              <w:top w:val="nil"/>
              <w:left w:val="single" w:sz="4" w:space="0" w:color="auto"/>
              <w:bottom w:val="single" w:sz="4" w:space="0" w:color="auto"/>
              <w:right w:val="single" w:sz="4" w:space="0" w:color="auto"/>
            </w:tcBorders>
            <w:noWrap/>
            <w:vAlign w:val="center"/>
          </w:tcPr>
          <w:p w14:paraId="5CE3399C" w14:textId="77777777" w:rsidR="00DF098E" w:rsidRPr="00B2674D" w:rsidRDefault="00DF098E" w:rsidP="00DF098E">
            <w:pPr>
              <w:pStyle w:val="ListParagraph"/>
              <w:numPr>
                <w:ilvl w:val="0"/>
                <w:numId w:val="26"/>
              </w:numPr>
              <w:spacing w:before="120"/>
              <w:contextualSpacing w:val="0"/>
            </w:pPr>
            <w:r w:rsidRPr="00B2674D">
              <w:t xml:space="preserve">Фермата да е окомплектована с всички необходими захранващи и свързващи кабели, за нормалната експлоатация на системата; </w:t>
            </w:r>
          </w:p>
          <w:p w14:paraId="1425FF79" w14:textId="77777777" w:rsidR="00DF098E" w:rsidRPr="00B2674D" w:rsidRDefault="00DF098E" w:rsidP="00DF098E">
            <w:pPr>
              <w:pStyle w:val="ListParagraph"/>
              <w:numPr>
                <w:ilvl w:val="0"/>
                <w:numId w:val="26"/>
              </w:numPr>
              <w:spacing w:before="120"/>
              <w:contextualSpacing w:val="0"/>
            </w:pPr>
            <w:r w:rsidRPr="00B2674D">
              <w:lastRenderedPageBreak/>
              <w:t xml:space="preserve">Да бъде доставена с </w:t>
            </w:r>
            <w:proofErr w:type="spellStart"/>
            <w:r w:rsidRPr="00B2674D">
              <w:t>hot</w:t>
            </w:r>
            <w:proofErr w:type="spellEnd"/>
            <w:r w:rsidRPr="00B2674D">
              <w:t xml:space="preserve"> </w:t>
            </w:r>
            <w:proofErr w:type="spellStart"/>
            <w:r w:rsidRPr="00B2674D">
              <w:t>plug</w:t>
            </w:r>
            <w:proofErr w:type="spellEnd"/>
            <w:r w:rsidRPr="00B2674D">
              <w:t xml:space="preserve"> резервирани захранвания и </w:t>
            </w:r>
            <w:proofErr w:type="spellStart"/>
            <w:r w:rsidRPr="00B2674D">
              <w:t>hot</w:t>
            </w:r>
            <w:proofErr w:type="spellEnd"/>
            <w:r w:rsidRPr="00B2674D">
              <w:t xml:space="preserve"> </w:t>
            </w:r>
            <w:proofErr w:type="spellStart"/>
            <w:r w:rsidRPr="00B2674D">
              <w:t>plug</w:t>
            </w:r>
            <w:proofErr w:type="spellEnd"/>
            <w:r w:rsidRPr="00B2674D">
              <w:t xml:space="preserve"> резервирани вентилатори;</w:t>
            </w:r>
          </w:p>
          <w:p w14:paraId="10C68AB8" w14:textId="77777777" w:rsidR="00DF098E" w:rsidRPr="00B2674D" w:rsidRDefault="00DF098E" w:rsidP="00DF098E">
            <w:pPr>
              <w:pStyle w:val="ListParagraph"/>
              <w:numPr>
                <w:ilvl w:val="0"/>
                <w:numId w:val="26"/>
              </w:numPr>
              <w:spacing w:before="120"/>
              <w:contextualSpacing w:val="0"/>
            </w:pPr>
            <w:r w:rsidRPr="00B2674D">
              <w:t>Захранващите блокове да бъдат високо ефективни (</w:t>
            </w:r>
            <w:proofErr w:type="spellStart"/>
            <w:r w:rsidRPr="00B2674D">
              <w:t>High</w:t>
            </w:r>
            <w:proofErr w:type="spellEnd"/>
            <w:r w:rsidRPr="00B2674D">
              <w:t xml:space="preserve"> </w:t>
            </w:r>
            <w:proofErr w:type="spellStart"/>
            <w:r w:rsidRPr="00B2674D">
              <w:t>Efficiency</w:t>
            </w:r>
            <w:proofErr w:type="spellEnd"/>
            <w:r w:rsidRPr="00B2674D">
              <w:t>) осигуряващи възможността за работа на запълнено шаси, резервираност на захранванията N+1 или N+N възможност за гореща подмяна;</w:t>
            </w:r>
          </w:p>
        </w:tc>
      </w:tr>
      <w:tr w:rsidR="00DF098E" w:rsidRPr="00BF4EBA" w14:paraId="3174BCF0" w14:textId="77777777" w:rsidTr="00DF098E">
        <w:tblPrEx>
          <w:tblCellMar>
            <w:left w:w="70" w:type="dxa"/>
            <w:right w:w="70" w:type="dxa"/>
          </w:tblCellMar>
        </w:tblPrEx>
        <w:trPr>
          <w:trHeight w:val="349"/>
        </w:trPr>
        <w:tc>
          <w:tcPr>
            <w:tcW w:w="2516" w:type="dxa"/>
            <w:tcBorders>
              <w:top w:val="nil"/>
              <w:left w:val="single" w:sz="4" w:space="0" w:color="auto"/>
              <w:bottom w:val="single" w:sz="4" w:space="0" w:color="auto"/>
              <w:right w:val="single" w:sz="4" w:space="0" w:color="auto"/>
            </w:tcBorders>
          </w:tcPr>
          <w:p w14:paraId="2980FC5A" w14:textId="77777777" w:rsidR="00DF098E" w:rsidRPr="00BF4EBA" w:rsidRDefault="00DF098E" w:rsidP="00AA2B1D">
            <w:pPr>
              <w:pStyle w:val="ListParagraph"/>
              <w:spacing w:before="120"/>
              <w:ind w:left="0"/>
              <w:contextualSpacing w:val="0"/>
            </w:pPr>
            <w:r w:rsidRPr="00BF4EBA">
              <w:lastRenderedPageBreak/>
              <w:t>Управление</w:t>
            </w:r>
          </w:p>
        </w:tc>
        <w:tc>
          <w:tcPr>
            <w:tcW w:w="7265" w:type="dxa"/>
            <w:tcBorders>
              <w:top w:val="nil"/>
              <w:left w:val="single" w:sz="4" w:space="0" w:color="auto"/>
              <w:bottom w:val="single" w:sz="4" w:space="0" w:color="auto"/>
              <w:right w:val="single" w:sz="4" w:space="0" w:color="auto"/>
            </w:tcBorders>
            <w:noWrap/>
            <w:vAlign w:val="center"/>
          </w:tcPr>
          <w:p w14:paraId="545DBF3E" w14:textId="77777777" w:rsidR="00DF098E" w:rsidRPr="00B2674D" w:rsidRDefault="00DF098E" w:rsidP="00AA2B1D">
            <w:pPr>
              <w:pStyle w:val="ListParagraph"/>
              <w:spacing w:before="120"/>
              <w:ind w:left="0"/>
              <w:contextualSpacing w:val="0"/>
            </w:pPr>
            <w:r w:rsidRPr="00B2674D">
              <w:t>Устройства за управление, вградено в шасито, което поддържа SNMPv3 и 1Gbps комуникационен канал</w:t>
            </w:r>
          </w:p>
          <w:p w14:paraId="2B7E905B" w14:textId="77777777" w:rsidR="00DF098E" w:rsidRPr="00B2674D" w:rsidRDefault="00DF098E" w:rsidP="00AA2B1D">
            <w:pPr>
              <w:pStyle w:val="ListParagraph"/>
              <w:spacing w:before="120"/>
              <w:ind w:left="0"/>
              <w:contextualSpacing w:val="0"/>
            </w:pPr>
            <w:r w:rsidRPr="00B2674D">
              <w:t xml:space="preserve">Интегриран FSM позволяващ управление на </w:t>
            </w:r>
            <w:proofErr w:type="spellStart"/>
            <w:r w:rsidRPr="00B2674D">
              <w:t>Network</w:t>
            </w:r>
            <w:proofErr w:type="spellEnd"/>
            <w:r w:rsidRPr="00B2674D">
              <w:t xml:space="preserve">, </w:t>
            </w:r>
            <w:proofErr w:type="spellStart"/>
            <w:r w:rsidRPr="00B2674D">
              <w:t>Storage</w:t>
            </w:r>
            <w:proofErr w:type="spellEnd"/>
            <w:r w:rsidRPr="00B2674D">
              <w:t xml:space="preserve">, </w:t>
            </w:r>
            <w:proofErr w:type="spellStart"/>
            <w:r w:rsidRPr="00B2674D">
              <w:t>Virtual</w:t>
            </w:r>
            <w:proofErr w:type="spellEnd"/>
            <w:r w:rsidRPr="00B2674D">
              <w:t xml:space="preserve"> </w:t>
            </w:r>
            <w:proofErr w:type="spellStart"/>
            <w:r w:rsidRPr="00B2674D">
              <w:t>Machines</w:t>
            </w:r>
            <w:proofErr w:type="spellEnd"/>
            <w:r w:rsidRPr="00B2674D">
              <w:t xml:space="preserve"> и </w:t>
            </w:r>
            <w:proofErr w:type="spellStart"/>
            <w:r w:rsidRPr="00B2674D">
              <w:t>Virtualization</w:t>
            </w:r>
            <w:proofErr w:type="spellEnd"/>
            <w:r w:rsidRPr="00B2674D">
              <w:t xml:space="preserve"> </w:t>
            </w:r>
            <w:proofErr w:type="spellStart"/>
            <w:r w:rsidRPr="00B2674D">
              <w:t>Platform</w:t>
            </w:r>
            <w:proofErr w:type="spellEnd"/>
            <w:r w:rsidRPr="00B2674D">
              <w:rPr>
                <w:rFonts w:ascii="Arial" w:hAnsi="Arial" w:cs="Arial"/>
                <w:color w:val="000000"/>
                <w:sz w:val="20"/>
                <w:szCs w:val="20"/>
              </w:rPr>
              <w:t xml:space="preserve"> </w:t>
            </w:r>
          </w:p>
        </w:tc>
      </w:tr>
      <w:tr w:rsidR="00DF098E" w:rsidRPr="00BF4EBA" w14:paraId="789C30E6" w14:textId="77777777" w:rsidTr="00DF098E">
        <w:tblPrEx>
          <w:tblCellMar>
            <w:left w:w="70" w:type="dxa"/>
            <w:right w:w="70" w:type="dxa"/>
          </w:tblCellMar>
        </w:tblPrEx>
        <w:trPr>
          <w:trHeight w:val="315"/>
        </w:trPr>
        <w:tc>
          <w:tcPr>
            <w:tcW w:w="2516" w:type="dxa"/>
            <w:tcBorders>
              <w:top w:val="single" w:sz="4" w:space="0" w:color="auto"/>
              <w:left w:val="single" w:sz="4" w:space="0" w:color="auto"/>
              <w:bottom w:val="single" w:sz="4" w:space="0" w:color="auto"/>
              <w:right w:val="single" w:sz="4" w:space="0" w:color="auto"/>
            </w:tcBorders>
          </w:tcPr>
          <w:p w14:paraId="668120C5" w14:textId="77777777" w:rsidR="00DF098E" w:rsidRPr="00BF4EBA" w:rsidRDefault="00DF098E" w:rsidP="00AA2B1D">
            <w:pPr>
              <w:pStyle w:val="ListParagraph"/>
              <w:spacing w:before="120"/>
              <w:ind w:left="0"/>
              <w:contextualSpacing w:val="0"/>
            </w:pPr>
            <w:r w:rsidRPr="00BF4EBA">
              <w:t>Поддръжка</w:t>
            </w:r>
          </w:p>
        </w:tc>
        <w:tc>
          <w:tcPr>
            <w:tcW w:w="7265" w:type="dxa"/>
            <w:tcBorders>
              <w:top w:val="single" w:sz="4" w:space="0" w:color="auto"/>
              <w:left w:val="single" w:sz="4" w:space="0" w:color="auto"/>
              <w:bottom w:val="single" w:sz="4" w:space="0" w:color="auto"/>
              <w:right w:val="single" w:sz="4" w:space="0" w:color="auto"/>
            </w:tcBorders>
            <w:noWrap/>
            <w:vAlign w:val="center"/>
          </w:tcPr>
          <w:p w14:paraId="02D320C1" w14:textId="77777777" w:rsidR="00DF098E" w:rsidRPr="00BF4EBA" w:rsidRDefault="00DF098E" w:rsidP="00AA2B1D">
            <w:pPr>
              <w:pStyle w:val="ListParagraph"/>
              <w:spacing w:before="120"/>
              <w:ind w:left="0"/>
              <w:contextualSpacing w:val="0"/>
            </w:pPr>
            <w:r w:rsidRPr="00BF4EBA">
              <w:t>3 години 24 x 7</w:t>
            </w:r>
            <w:r w:rsidRPr="00E63543">
              <w:t xml:space="preserve"> </w:t>
            </w:r>
            <w:r>
              <w:t>с реакция</w:t>
            </w:r>
            <w:r w:rsidRPr="00E63543">
              <w:t xml:space="preserve"> </w:t>
            </w:r>
            <w:r>
              <w:t>следващ работен ден</w:t>
            </w:r>
          </w:p>
        </w:tc>
      </w:tr>
    </w:tbl>
    <w:p w14:paraId="1B0CEEE1" w14:textId="77777777" w:rsidR="00DF098E" w:rsidRPr="00BF4EBA" w:rsidRDefault="00DF098E" w:rsidP="00DF098E"/>
    <w:p w14:paraId="5A34F9CA" w14:textId="77777777" w:rsidR="00DF098E" w:rsidRPr="00BF4EBA" w:rsidRDefault="00DF098E" w:rsidP="00DF098E">
      <w:pPr>
        <w:rPr>
          <w:b/>
        </w:rPr>
      </w:pPr>
      <w:r w:rsidRPr="00BF4EBA">
        <w:rPr>
          <w:b/>
        </w:rPr>
        <w:t xml:space="preserve">2. Доставка и пускане в експлоатация на </w:t>
      </w:r>
      <w:proofErr w:type="spellStart"/>
      <w:r w:rsidRPr="00BF4EBA">
        <w:rPr>
          <w:b/>
        </w:rPr>
        <w:t>блейд</w:t>
      </w:r>
      <w:proofErr w:type="spellEnd"/>
      <w:r w:rsidRPr="00BF4EBA">
        <w:rPr>
          <w:b/>
        </w:rPr>
        <w:t xml:space="preserve"> сървъри – 6 бр.:</w:t>
      </w:r>
    </w:p>
    <w:p w14:paraId="3D5FA23C" w14:textId="77777777" w:rsidR="00DF098E" w:rsidRPr="00BF4EBA" w:rsidRDefault="00DF098E" w:rsidP="00DF098E"/>
    <w:tbl>
      <w:tblPr>
        <w:tblW w:w="9781" w:type="dxa"/>
        <w:tblInd w:w="-459" w:type="dxa"/>
        <w:tblLook w:val="00A0" w:firstRow="1" w:lastRow="0" w:firstColumn="1" w:lastColumn="0" w:noHBand="0" w:noVBand="0"/>
      </w:tblPr>
      <w:tblGrid>
        <w:gridCol w:w="2410"/>
        <w:gridCol w:w="7371"/>
      </w:tblGrid>
      <w:tr w:rsidR="00DF098E" w:rsidRPr="00BF4EBA" w14:paraId="74913EA1" w14:textId="77777777" w:rsidTr="00DF098E">
        <w:trPr>
          <w:trHeight w:val="315"/>
          <w:tblHeader/>
        </w:trPr>
        <w:tc>
          <w:tcPr>
            <w:tcW w:w="2410" w:type="dxa"/>
            <w:tcBorders>
              <w:top w:val="single" w:sz="4" w:space="0" w:color="auto"/>
              <w:left w:val="single" w:sz="4" w:space="0" w:color="auto"/>
              <w:bottom w:val="single" w:sz="4" w:space="0" w:color="auto"/>
              <w:right w:val="single" w:sz="4" w:space="0" w:color="auto"/>
            </w:tcBorders>
            <w:shd w:val="clear" w:color="auto" w:fill="4F81BD" w:themeFill="accent1"/>
          </w:tcPr>
          <w:p w14:paraId="18DFA833" w14:textId="77777777" w:rsidR="00DF098E" w:rsidRPr="00BF4EBA" w:rsidRDefault="00DF098E" w:rsidP="00AA2B1D">
            <w:r w:rsidRPr="00BF4EBA">
              <w:t>Параметър</w:t>
            </w:r>
          </w:p>
        </w:tc>
        <w:tc>
          <w:tcPr>
            <w:tcW w:w="7371"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57445C2E" w14:textId="77777777" w:rsidR="00DF098E" w:rsidRPr="00B2674D" w:rsidRDefault="00DF098E" w:rsidP="00AA2B1D">
            <w:r w:rsidRPr="00B2674D">
              <w:t xml:space="preserve">Минимални технически изисквания за </w:t>
            </w:r>
            <w:proofErr w:type="spellStart"/>
            <w:r w:rsidRPr="00B2674D">
              <w:t>блейд</w:t>
            </w:r>
            <w:proofErr w:type="spellEnd"/>
            <w:r w:rsidRPr="00B2674D">
              <w:t xml:space="preserve"> сървъри:</w:t>
            </w:r>
          </w:p>
        </w:tc>
      </w:tr>
      <w:tr w:rsidR="00DF098E" w:rsidRPr="00BF4EBA" w14:paraId="285C2EB3" w14:textId="77777777" w:rsidTr="00DF098E">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31C923D" w14:textId="77777777" w:rsidR="00DF098E" w:rsidRPr="00BF4EBA" w:rsidRDefault="00DF098E" w:rsidP="00AA2B1D">
            <w:pPr>
              <w:rPr>
                <w:bCs/>
              </w:rPr>
            </w:pPr>
            <w:r w:rsidRPr="00BF4EBA">
              <w:rPr>
                <w:bCs/>
              </w:rPr>
              <w:t>Производител, модел, адрес на описанието му в сайта на производителя</w:t>
            </w:r>
          </w:p>
        </w:tc>
        <w:tc>
          <w:tcPr>
            <w:tcW w:w="7371" w:type="dxa"/>
            <w:tcBorders>
              <w:top w:val="single" w:sz="4" w:space="0" w:color="auto"/>
              <w:left w:val="single" w:sz="4" w:space="0" w:color="auto"/>
              <w:bottom w:val="single" w:sz="4" w:space="0" w:color="auto"/>
              <w:right w:val="single" w:sz="4" w:space="0" w:color="auto"/>
            </w:tcBorders>
            <w:shd w:val="clear" w:color="auto" w:fill="auto"/>
            <w:noWrap/>
          </w:tcPr>
          <w:p w14:paraId="7A22E946" w14:textId="77777777" w:rsidR="00DF098E" w:rsidRPr="00B2674D" w:rsidRDefault="00DF098E" w:rsidP="00AA2B1D">
            <w:pPr>
              <w:rPr>
                <w:b/>
              </w:rPr>
            </w:pPr>
            <w:r w:rsidRPr="00B2674D">
              <w:rPr>
                <w:bCs/>
              </w:rPr>
              <w:t>Да се посочат</w:t>
            </w:r>
          </w:p>
        </w:tc>
      </w:tr>
      <w:tr w:rsidR="00DF098E" w:rsidRPr="00BF4EBA" w14:paraId="21B77BF4" w14:textId="77777777" w:rsidTr="00DF098E">
        <w:tblPrEx>
          <w:tblCellMar>
            <w:left w:w="70" w:type="dxa"/>
            <w:right w:w="70" w:type="dxa"/>
          </w:tblCellMar>
        </w:tblPrEx>
        <w:trPr>
          <w:trHeight w:val="394"/>
        </w:trPr>
        <w:tc>
          <w:tcPr>
            <w:tcW w:w="2410" w:type="dxa"/>
            <w:tcBorders>
              <w:top w:val="single" w:sz="4" w:space="0" w:color="auto"/>
              <w:left w:val="single" w:sz="4" w:space="0" w:color="auto"/>
              <w:bottom w:val="single" w:sz="4" w:space="0" w:color="auto"/>
              <w:right w:val="single" w:sz="4" w:space="0" w:color="auto"/>
            </w:tcBorders>
          </w:tcPr>
          <w:p w14:paraId="737854A1" w14:textId="77777777" w:rsidR="00DF098E" w:rsidRPr="00BF4EBA" w:rsidRDefault="00DF098E" w:rsidP="00AA2B1D">
            <w:pPr>
              <w:pStyle w:val="ListParagraph"/>
              <w:tabs>
                <w:tab w:val="left" w:pos="567"/>
              </w:tabs>
              <w:spacing w:before="120"/>
              <w:ind w:left="0"/>
              <w:contextualSpacing w:val="0"/>
            </w:pPr>
            <w:r w:rsidRPr="00BF4EBA">
              <w:t>Съвместимост с други компоненти и възли на системата</w:t>
            </w:r>
          </w:p>
        </w:tc>
        <w:tc>
          <w:tcPr>
            <w:tcW w:w="7371" w:type="dxa"/>
            <w:tcBorders>
              <w:top w:val="single" w:sz="4" w:space="0" w:color="auto"/>
              <w:left w:val="single" w:sz="4" w:space="0" w:color="auto"/>
              <w:bottom w:val="single" w:sz="4" w:space="0" w:color="auto"/>
              <w:right w:val="single" w:sz="4" w:space="0" w:color="auto"/>
            </w:tcBorders>
            <w:noWrap/>
          </w:tcPr>
          <w:p w14:paraId="6A5388E4" w14:textId="77777777" w:rsidR="00DF098E" w:rsidRPr="00B2674D" w:rsidRDefault="00DF098E" w:rsidP="00AA2B1D">
            <w:pPr>
              <w:pStyle w:val="ListParagraph"/>
              <w:tabs>
                <w:tab w:val="left" w:pos="567"/>
              </w:tabs>
              <w:spacing w:before="120"/>
              <w:ind w:left="0"/>
              <w:contextualSpacing w:val="0"/>
            </w:pPr>
            <w:proofErr w:type="spellStart"/>
            <w:r w:rsidRPr="00B2674D">
              <w:t>Блейд</w:t>
            </w:r>
            <w:proofErr w:type="spellEnd"/>
            <w:r w:rsidRPr="00B2674D">
              <w:t xml:space="preserve"> сървъри за инсталиране в </w:t>
            </w:r>
            <w:proofErr w:type="spellStart"/>
            <w:r w:rsidRPr="00B2674D">
              <w:t>блейд</w:t>
            </w:r>
            <w:proofErr w:type="spellEnd"/>
            <w:r w:rsidRPr="00B2674D">
              <w:t xml:space="preserve"> </w:t>
            </w:r>
            <w:proofErr w:type="spellStart"/>
            <w:r w:rsidRPr="00B2674D">
              <w:t>шаси</w:t>
            </w:r>
            <w:proofErr w:type="spellEnd"/>
            <w:r w:rsidRPr="00B2674D">
              <w:t xml:space="preserve"> по т. 1.1;</w:t>
            </w:r>
          </w:p>
        </w:tc>
      </w:tr>
      <w:tr w:rsidR="00DF098E" w:rsidRPr="00BF4EBA" w14:paraId="433BE4EF" w14:textId="77777777" w:rsidTr="00DF098E">
        <w:tblPrEx>
          <w:tblCellMar>
            <w:left w:w="70" w:type="dxa"/>
            <w:right w:w="70" w:type="dxa"/>
          </w:tblCellMar>
        </w:tblPrEx>
        <w:trPr>
          <w:trHeight w:val="349"/>
        </w:trPr>
        <w:tc>
          <w:tcPr>
            <w:tcW w:w="2410" w:type="dxa"/>
            <w:tcBorders>
              <w:top w:val="nil"/>
              <w:left w:val="single" w:sz="4" w:space="0" w:color="auto"/>
              <w:bottom w:val="single" w:sz="4" w:space="0" w:color="auto"/>
              <w:right w:val="single" w:sz="4" w:space="0" w:color="auto"/>
            </w:tcBorders>
          </w:tcPr>
          <w:p w14:paraId="171B136A" w14:textId="77777777" w:rsidR="00DF098E" w:rsidRPr="00BF4EBA" w:rsidRDefault="00DF098E" w:rsidP="00AA2B1D">
            <w:pPr>
              <w:pStyle w:val="ListParagraph"/>
              <w:spacing w:before="120"/>
              <w:ind w:left="0"/>
              <w:contextualSpacing w:val="0"/>
            </w:pPr>
            <w:r w:rsidRPr="00BF4EBA">
              <w:t>Инсталирани процесори</w:t>
            </w:r>
          </w:p>
        </w:tc>
        <w:tc>
          <w:tcPr>
            <w:tcW w:w="7371" w:type="dxa"/>
            <w:tcBorders>
              <w:top w:val="nil"/>
              <w:left w:val="single" w:sz="4" w:space="0" w:color="auto"/>
              <w:bottom w:val="single" w:sz="4" w:space="0" w:color="auto"/>
              <w:right w:val="single" w:sz="4" w:space="0" w:color="auto"/>
            </w:tcBorders>
            <w:noWrap/>
            <w:vAlign w:val="center"/>
          </w:tcPr>
          <w:p w14:paraId="04C47FD6" w14:textId="77777777" w:rsidR="00DF098E" w:rsidRPr="00B2674D" w:rsidRDefault="00DF098E" w:rsidP="00AA2B1D">
            <w:pPr>
              <w:pStyle w:val="ListParagraph"/>
              <w:spacing w:before="120"/>
              <w:ind w:left="0"/>
              <w:contextualSpacing w:val="0"/>
            </w:pPr>
            <w:r w:rsidRPr="00B2674D">
              <w:t xml:space="preserve">С цел постигане максимална надеждност посредством равномерно разпределение на натоварването върху всички </w:t>
            </w:r>
            <w:proofErr w:type="spellStart"/>
            <w:r w:rsidRPr="00B2674D">
              <w:t>нодове</w:t>
            </w:r>
            <w:proofErr w:type="spellEnd"/>
            <w:r w:rsidRPr="00B2674D">
              <w:t xml:space="preserve"> от </w:t>
            </w:r>
            <w:proofErr w:type="spellStart"/>
            <w:r w:rsidRPr="00B2674D">
              <w:t>клъстерната</w:t>
            </w:r>
            <w:proofErr w:type="spellEnd"/>
            <w:r w:rsidRPr="00B2674D">
              <w:t xml:space="preserve"> система и оптимална гъстота на виртуални машини се изискват инсталирани мин. 2 бр. процесори от последно поколение със следните минимални изисквания за всеки процесор:</w:t>
            </w:r>
          </w:p>
          <w:p w14:paraId="0168DC4F" w14:textId="77777777" w:rsidR="00DF098E" w:rsidRPr="00B2674D" w:rsidRDefault="00DF098E" w:rsidP="00DF098E">
            <w:pPr>
              <w:pStyle w:val="ListParagraph"/>
              <w:numPr>
                <w:ilvl w:val="0"/>
                <w:numId w:val="27"/>
              </w:numPr>
              <w:spacing w:before="120"/>
              <w:contextualSpacing w:val="0"/>
            </w:pPr>
            <w:r w:rsidRPr="00B2674D">
              <w:t xml:space="preserve">Брой логически ядра: минимум </w:t>
            </w:r>
            <w:r w:rsidRPr="00B2674D">
              <w:rPr>
                <w:lang w:val="en-US"/>
              </w:rPr>
              <w:t>8</w:t>
            </w:r>
            <w:r w:rsidRPr="00B2674D">
              <w:t>;</w:t>
            </w:r>
          </w:p>
          <w:p w14:paraId="2ED87294" w14:textId="77777777" w:rsidR="00DF098E" w:rsidRPr="00B2674D" w:rsidRDefault="00DF098E" w:rsidP="00DF098E">
            <w:pPr>
              <w:pStyle w:val="ListParagraph"/>
              <w:numPr>
                <w:ilvl w:val="0"/>
                <w:numId w:val="27"/>
              </w:numPr>
              <w:spacing w:before="120"/>
              <w:contextualSpacing w:val="0"/>
            </w:pPr>
            <w:r w:rsidRPr="00B2674D">
              <w:t xml:space="preserve">Работна честота: минимум 2.00 </w:t>
            </w:r>
            <w:proofErr w:type="spellStart"/>
            <w:r w:rsidRPr="00B2674D">
              <w:t>GHz</w:t>
            </w:r>
            <w:proofErr w:type="spellEnd"/>
            <w:r w:rsidRPr="00B2674D">
              <w:t>;</w:t>
            </w:r>
          </w:p>
          <w:p w14:paraId="40B0743B" w14:textId="77777777" w:rsidR="00DF098E" w:rsidRPr="00B2674D" w:rsidRDefault="00DF098E" w:rsidP="00DF098E">
            <w:pPr>
              <w:pStyle w:val="ListParagraph"/>
              <w:numPr>
                <w:ilvl w:val="0"/>
                <w:numId w:val="27"/>
              </w:numPr>
              <w:spacing w:before="120"/>
              <w:contextualSpacing w:val="0"/>
            </w:pPr>
            <w:r w:rsidRPr="00B2674D">
              <w:t>Кеш памет (L3): минимум 20 MB;</w:t>
            </w:r>
          </w:p>
          <w:p w14:paraId="4C67BFF5" w14:textId="77777777" w:rsidR="00DF098E" w:rsidRPr="00B2674D" w:rsidRDefault="00DF098E" w:rsidP="00DF098E">
            <w:pPr>
              <w:pStyle w:val="ListParagraph"/>
              <w:numPr>
                <w:ilvl w:val="0"/>
                <w:numId w:val="27"/>
              </w:numPr>
              <w:spacing w:before="120"/>
              <w:contextualSpacing w:val="0"/>
            </w:pPr>
            <w:r w:rsidRPr="00B2674D">
              <w:t xml:space="preserve">Да поддържа технологии за виртуализация: </w:t>
            </w:r>
            <w:proofErr w:type="spellStart"/>
            <w:r w:rsidRPr="00B2674D">
              <w:t>Intel</w:t>
            </w:r>
            <w:proofErr w:type="spellEnd"/>
            <w:r w:rsidRPr="00B2674D">
              <w:t xml:space="preserve"> </w:t>
            </w:r>
            <w:proofErr w:type="spellStart"/>
            <w:r w:rsidRPr="00B2674D">
              <w:t>Virtualization</w:t>
            </w:r>
            <w:proofErr w:type="spellEnd"/>
            <w:r w:rsidRPr="00B2674D">
              <w:t xml:space="preserve"> Technology (VT-x), </w:t>
            </w:r>
            <w:proofErr w:type="spellStart"/>
            <w:r w:rsidRPr="00B2674D">
              <w:t>Intel</w:t>
            </w:r>
            <w:proofErr w:type="spellEnd"/>
            <w:r w:rsidRPr="00B2674D">
              <w:t xml:space="preserve"> VT-x </w:t>
            </w:r>
            <w:proofErr w:type="spellStart"/>
            <w:r w:rsidRPr="00B2674D">
              <w:t>with</w:t>
            </w:r>
            <w:proofErr w:type="spellEnd"/>
            <w:r w:rsidRPr="00B2674D">
              <w:t xml:space="preserve"> EPT или еквивалентни;</w:t>
            </w:r>
          </w:p>
        </w:tc>
      </w:tr>
      <w:tr w:rsidR="00DF098E" w:rsidRPr="00BF4EBA" w14:paraId="078F6679" w14:textId="77777777" w:rsidTr="00DF098E">
        <w:tblPrEx>
          <w:tblCellMar>
            <w:left w:w="70" w:type="dxa"/>
            <w:right w:w="70" w:type="dxa"/>
          </w:tblCellMar>
        </w:tblPrEx>
        <w:trPr>
          <w:trHeight w:val="349"/>
        </w:trPr>
        <w:tc>
          <w:tcPr>
            <w:tcW w:w="2410" w:type="dxa"/>
            <w:tcBorders>
              <w:top w:val="nil"/>
              <w:left w:val="single" w:sz="4" w:space="0" w:color="auto"/>
              <w:bottom w:val="single" w:sz="4" w:space="0" w:color="auto"/>
              <w:right w:val="single" w:sz="4" w:space="0" w:color="auto"/>
            </w:tcBorders>
          </w:tcPr>
          <w:p w14:paraId="6BCA70E0" w14:textId="77777777" w:rsidR="00DF098E" w:rsidRPr="00BF4EBA" w:rsidRDefault="00DF098E" w:rsidP="00AA2B1D">
            <w:pPr>
              <w:pStyle w:val="ListParagraph"/>
              <w:spacing w:before="120"/>
              <w:ind w:left="0"/>
              <w:contextualSpacing w:val="0"/>
            </w:pPr>
            <w:r w:rsidRPr="00BF4EBA">
              <w:t>Инсталирана памет</w:t>
            </w:r>
          </w:p>
        </w:tc>
        <w:tc>
          <w:tcPr>
            <w:tcW w:w="7371" w:type="dxa"/>
            <w:tcBorders>
              <w:top w:val="nil"/>
              <w:left w:val="single" w:sz="4" w:space="0" w:color="auto"/>
              <w:bottom w:val="single" w:sz="4" w:space="0" w:color="auto"/>
              <w:right w:val="single" w:sz="4" w:space="0" w:color="auto"/>
            </w:tcBorders>
            <w:noWrap/>
            <w:vAlign w:val="center"/>
          </w:tcPr>
          <w:p w14:paraId="5059293A" w14:textId="77777777" w:rsidR="00DF098E" w:rsidRPr="00B2674D" w:rsidRDefault="00DF098E" w:rsidP="00AA2B1D">
            <w:pPr>
              <w:pStyle w:val="ListParagraph"/>
              <w:spacing w:before="120"/>
              <w:ind w:left="0"/>
              <w:contextualSpacing w:val="0"/>
            </w:pPr>
            <w:r w:rsidRPr="00B2674D">
              <w:t>Инсталирана мин. 96GB високоскоростна DDR3 памет</w:t>
            </w:r>
          </w:p>
        </w:tc>
      </w:tr>
      <w:tr w:rsidR="00DF098E" w:rsidRPr="00BF4EBA" w14:paraId="14E3F99B" w14:textId="77777777" w:rsidTr="00DF098E">
        <w:tblPrEx>
          <w:tblCellMar>
            <w:left w:w="70" w:type="dxa"/>
            <w:right w:w="70" w:type="dxa"/>
          </w:tblCellMar>
        </w:tblPrEx>
        <w:trPr>
          <w:trHeight w:val="349"/>
        </w:trPr>
        <w:tc>
          <w:tcPr>
            <w:tcW w:w="2410" w:type="dxa"/>
            <w:tcBorders>
              <w:top w:val="nil"/>
              <w:left w:val="single" w:sz="4" w:space="0" w:color="auto"/>
              <w:bottom w:val="single" w:sz="4" w:space="0" w:color="auto"/>
              <w:right w:val="single" w:sz="4" w:space="0" w:color="auto"/>
            </w:tcBorders>
          </w:tcPr>
          <w:p w14:paraId="235ADF9D" w14:textId="77777777" w:rsidR="00DF098E" w:rsidRPr="00BF4EBA" w:rsidRDefault="00DF098E" w:rsidP="00AA2B1D">
            <w:pPr>
              <w:pStyle w:val="ListParagraph"/>
              <w:spacing w:before="120"/>
              <w:ind w:left="0"/>
              <w:contextualSpacing w:val="0"/>
            </w:pPr>
            <w:r w:rsidRPr="00BF4EBA">
              <w:t>Инсталиран контролер за локални твърди дискове</w:t>
            </w:r>
          </w:p>
        </w:tc>
        <w:tc>
          <w:tcPr>
            <w:tcW w:w="7371" w:type="dxa"/>
            <w:tcBorders>
              <w:top w:val="nil"/>
              <w:left w:val="single" w:sz="4" w:space="0" w:color="auto"/>
              <w:bottom w:val="single" w:sz="4" w:space="0" w:color="auto"/>
              <w:right w:val="single" w:sz="4" w:space="0" w:color="auto"/>
            </w:tcBorders>
            <w:noWrap/>
          </w:tcPr>
          <w:p w14:paraId="70415197" w14:textId="77777777" w:rsidR="00DF098E" w:rsidRPr="00B2674D" w:rsidRDefault="00DF098E" w:rsidP="00AA2B1D">
            <w:pPr>
              <w:pStyle w:val="ListParagraph"/>
              <w:spacing w:before="120"/>
              <w:ind w:left="0"/>
              <w:contextualSpacing w:val="0"/>
            </w:pPr>
            <w:r w:rsidRPr="00B2674D">
              <w:t>Инсталиран хардуерен контролер с поддръжка на RAID 0, 1, технология 6Gb SAS</w:t>
            </w:r>
          </w:p>
        </w:tc>
      </w:tr>
      <w:tr w:rsidR="00DF098E" w:rsidRPr="00BF4EBA" w14:paraId="2F98B28A" w14:textId="77777777" w:rsidTr="00DF098E">
        <w:tblPrEx>
          <w:tblCellMar>
            <w:left w:w="70" w:type="dxa"/>
            <w:right w:w="70" w:type="dxa"/>
          </w:tblCellMar>
        </w:tblPrEx>
        <w:trPr>
          <w:trHeight w:val="349"/>
        </w:trPr>
        <w:tc>
          <w:tcPr>
            <w:tcW w:w="2410" w:type="dxa"/>
            <w:tcBorders>
              <w:top w:val="nil"/>
              <w:left w:val="single" w:sz="4" w:space="0" w:color="auto"/>
              <w:bottom w:val="single" w:sz="4" w:space="0" w:color="auto"/>
              <w:right w:val="single" w:sz="4" w:space="0" w:color="auto"/>
            </w:tcBorders>
          </w:tcPr>
          <w:p w14:paraId="08EB6A6E" w14:textId="77777777" w:rsidR="00DF098E" w:rsidRPr="00BF4EBA" w:rsidRDefault="00DF098E" w:rsidP="00AA2B1D">
            <w:pPr>
              <w:pStyle w:val="ListParagraph"/>
              <w:spacing w:before="120"/>
              <w:ind w:left="0"/>
              <w:contextualSpacing w:val="0"/>
            </w:pPr>
            <w:r w:rsidRPr="00BF4EBA">
              <w:t>Инсталирани локални твърди дискове</w:t>
            </w:r>
          </w:p>
        </w:tc>
        <w:tc>
          <w:tcPr>
            <w:tcW w:w="7371" w:type="dxa"/>
            <w:tcBorders>
              <w:top w:val="nil"/>
              <w:left w:val="single" w:sz="4" w:space="0" w:color="auto"/>
              <w:bottom w:val="single" w:sz="4" w:space="0" w:color="auto"/>
              <w:right w:val="single" w:sz="4" w:space="0" w:color="auto"/>
            </w:tcBorders>
            <w:noWrap/>
            <w:vAlign w:val="center"/>
          </w:tcPr>
          <w:p w14:paraId="4A5EBD80" w14:textId="77777777" w:rsidR="00DF098E" w:rsidRPr="00B2674D" w:rsidRDefault="00DF098E" w:rsidP="00AA2B1D">
            <w:pPr>
              <w:pStyle w:val="ListParagraph"/>
              <w:spacing w:before="120"/>
              <w:ind w:left="0"/>
              <w:contextualSpacing w:val="0"/>
            </w:pPr>
            <w:r w:rsidRPr="00B2674D">
              <w:t xml:space="preserve">Инсталиран флаш или </w:t>
            </w:r>
            <w:r w:rsidRPr="00B2674D">
              <w:rPr>
                <w:lang w:val="en-US"/>
              </w:rPr>
              <w:t>USB</w:t>
            </w:r>
            <w:r w:rsidRPr="00B2674D">
              <w:t xml:space="preserve"> модул за зареждане на </w:t>
            </w:r>
            <w:r w:rsidRPr="00B2674D">
              <w:rPr>
                <w:lang w:val="en-US"/>
              </w:rPr>
              <w:t>host</w:t>
            </w:r>
            <w:r w:rsidRPr="00B2674D">
              <w:t xml:space="preserve"> операционна система на </w:t>
            </w:r>
            <w:proofErr w:type="spellStart"/>
            <w:r w:rsidRPr="00B2674D">
              <w:t>виртуализационният</w:t>
            </w:r>
            <w:proofErr w:type="spellEnd"/>
            <w:r w:rsidRPr="00B2674D">
              <w:t xml:space="preserve"> софтуер</w:t>
            </w:r>
          </w:p>
        </w:tc>
      </w:tr>
      <w:tr w:rsidR="00DF098E" w:rsidRPr="00BF4EBA" w14:paraId="022EAD8C" w14:textId="77777777" w:rsidTr="00DF098E">
        <w:tblPrEx>
          <w:tblCellMar>
            <w:left w:w="70" w:type="dxa"/>
            <w:right w:w="70" w:type="dxa"/>
          </w:tblCellMar>
        </w:tblPrEx>
        <w:trPr>
          <w:trHeight w:val="349"/>
        </w:trPr>
        <w:tc>
          <w:tcPr>
            <w:tcW w:w="2410" w:type="dxa"/>
            <w:tcBorders>
              <w:top w:val="nil"/>
              <w:left w:val="single" w:sz="4" w:space="0" w:color="auto"/>
              <w:bottom w:val="single" w:sz="4" w:space="0" w:color="auto"/>
              <w:right w:val="single" w:sz="4" w:space="0" w:color="auto"/>
            </w:tcBorders>
          </w:tcPr>
          <w:p w14:paraId="10062636" w14:textId="77777777" w:rsidR="00DF098E" w:rsidRPr="00BF4EBA" w:rsidRDefault="00DF098E" w:rsidP="00AA2B1D">
            <w:pPr>
              <w:pStyle w:val="ListParagraph"/>
              <w:spacing w:before="120"/>
              <w:ind w:left="0"/>
              <w:contextualSpacing w:val="0"/>
            </w:pPr>
            <w:r w:rsidRPr="00BF4EBA">
              <w:t xml:space="preserve">Инсталирани мрежови адаптер и </w:t>
            </w:r>
            <w:r w:rsidRPr="00BF4EBA">
              <w:lastRenderedPageBreak/>
              <w:t>контролер за достъп до външен дисков масив</w:t>
            </w:r>
          </w:p>
        </w:tc>
        <w:tc>
          <w:tcPr>
            <w:tcW w:w="7371" w:type="dxa"/>
            <w:tcBorders>
              <w:top w:val="nil"/>
              <w:left w:val="single" w:sz="4" w:space="0" w:color="auto"/>
              <w:bottom w:val="single" w:sz="4" w:space="0" w:color="auto"/>
              <w:right w:val="single" w:sz="4" w:space="0" w:color="auto"/>
            </w:tcBorders>
            <w:noWrap/>
            <w:vAlign w:val="center"/>
          </w:tcPr>
          <w:p w14:paraId="56F4A36F" w14:textId="77777777" w:rsidR="00DF098E" w:rsidRPr="00B2674D" w:rsidRDefault="00DF098E" w:rsidP="00AA2B1D">
            <w:pPr>
              <w:pStyle w:val="ListParagraph"/>
              <w:spacing w:before="120"/>
              <w:ind w:left="0"/>
              <w:contextualSpacing w:val="0"/>
            </w:pPr>
            <w:r w:rsidRPr="00B2674D">
              <w:lastRenderedPageBreak/>
              <w:t xml:space="preserve">Инсталирани 2 бр. 10 </w:t>
            </w:r>
            <w:proofErr w:type="spellStart"/>
            <w:r w:rsidRPr="00B2674D">
              <w:t>Gbps</w:t>
            </w:r>
            <w:proofErr w:type="spellEnd"/>
            <w:r w:rsidRPr="00B2674D">
              <w:t xml:space="preserve"> </w:t>
            </w:r>
            <w:proofErr w:type="spellStart"/>
            <w:r w:rsidRPr="00B2674D">
              <w:t>Ethernet</w:t>
            </w:r>
            <w:proofErr w:type="spellEnd"/>
            <w:r w:rsidRPr="00B2674D">
              <w:t xml:space="preserve"> порта и 2 бр. 8</w:t>
            </w:r>
            <w:proofErr w:type="spellStart"/>
            <w:r w:rsidRPr="00B2674D">
              <w:rPr>
                <w:lang w:val="en-US"/>
              </w:rPr>
              <w:t>Gbps</w:t>
            </w:r>
            <w:proofErr w:type="spellEnd"/>
            <w:r w:rsidRPr="00B2674D">
              <w:t xml:space="preserve"> </w:t>
            </w:r>
            <w:r w:rsidRPr="00B2674D">
              <w:rPr>
                <w:lang w:val="en-US"/>
              </w:rPr>
              <w:t>FC</w:t>
            </w:r>
            <w:r w:rsidRPr="00B2674D">
              <w:t xml:space="preserve"> порта</w:t>
            </w:r>
          </w:p>
        </w:tc>
      </w:tr>
      <w:tr w:rsidR="00DF098E" w:rsidRPr="00BF4EBA" w14:paraId="355972E7" w14:textId="77777777" w:rsidTr="00DF098E">
        <w:tblPrEx>
          <w:tblCellMar>
            <w:left w:w="70" w:type="dxa"/>
            <w:right w:w="70" w:type="dxa"/>
          </w:tblCellMar>
        </w:tblPrEx>
        <w:trPr>
          <w:trHeight w:val="349"/>
        </w:trPr>
        <w:tc>
          <w:tcPr>
            <w:tcW w:w="2410" w:type="dxa"/>
            <w:tcBorders>
              <w:top w:val="nil"/>
              <w:left w:val="single" w:sz="4" w:space="0" w:color="auto"/>
              <w:bottom w:val="single" w:sz="4" w:space="0" w:color="auto"/>
              <w:right w:val="single" w:sz="4" w:space="0" w:color="auto"/>
            </w:tcBorders>
          </w:tcPr>
          <w:p w14:paraId="53C48DA1" w14:textId="77777777" w:rsidR="00DF098E" w:rsidRPr="00BF4EBA" w:rsidRDefault="00DF098E" w:rsidP="00AA2B1D">
            <w:pPr>
              <w:pStyle w:val="ListParagraph"/>
              <w:spacing w:before="120"/>
              <w:ind w:left="0"/>
              <w:contextualSpacing w:val="0"/>
            </w:pPr>
            <w:r w:rsidRPr="00BF4EBA">
              <w:lastRenderedPageBreak/>
              <w:t>Управление</w:t>
            </w:r>
          </w:p>
        </w:tc>
        <w:tc>
          <w:tcPr>
            <w:tcW w:w="7371" w:type="dxa"/>
            <w:tcBorders>
              <w:top w:val="nil"/>
              <w:left w:val="single" w:sz="4" w:space="0" w:color="auto"/>
              <w:bottom w:val="single" w:sz="4" w:space="0" w:color="auto"/>
              <w:right w:val="single" w:sz="4" w:space="0" w:color="auto"/>
            </w:tcBorders>
            <w:noWrap/>
            <w:vAlign w:val="center"/>
          </w:tcPr>
          <w:p w14:paraId="367A350E" w14:textId="77777777" w:rsidR="00DF098E" w:rsidRPr="00B2674D" w:rsidRDefault="00DF098E" w:rsidP="00DF098E">
            <w:pPr>
              <w:pStyle w:val="ListParagraph"/>
              <w:numPr>
                <w:ilvl w:val="0"/>
                <w:numId w:val="28"/>
              </w:numPr>
              <w:spacing w:before="120"/>
              <w:contextualSpacing w:val="0"/>
            </w:pPr>
            <w:r w:rsidRPr="00B2674D">
              <w:t>Информация за състояние на сървъра;</w:t>
            </w:r>
          </w:p>
          <w:p w14:paraId="09522338" w14:textId="77777777" w:rsidR="00DF098E" w:rsidRPr="00B2674D" w:rsidRDefault="00DF098E" w:rsidP="00DF098E">
            <w:pPr>
              <w:pStyle w:val="ListParagraph"/>
              <w:numPr>
                <w:ilvl w:val="0"/>
                <w:numId w:val="28"/>
              </w:numPr>
              <w:spacing w:before="120"/>
              <w:contextualSpacing w:val="0"/>
            </w:pPr>
            <w:r w:rsidRPr="00B2674D">
              <w:t xml:space="preserve">Възможност за автоматично стартиране на работещите операционна система и приложения върху </w:t>
            </w:r>
            <w:proofErr w:type="spellStart"/>
            <w:r w:rsidRPr="00B2674D">
              <w:t>hot-spare</w:t>
            </w:r>
            <w:proofErr w:type="spellEnd"/>
            <w:r w:rsidRPr="00B2674D">
              <w:t xml:space="preserve"> сървър при отпадане на основния сървър</w:t>
            </w:r>
          </w:p>
          <w:p w14:paraId="2F1DD99C" w14:textId="77777777" w:rsidR="00DF098E" w:rsidRPr="00B2674D" w:rsidRDefault="00DF098E" w:rsidP="00DF098E">
            <w:pPr>
              <w:pStyle w:val="ListParagraph"/>
              <w:numPr>
                <w:ilvl w:val="0"/>
                <w:numId w:val="28"/>
              </w:numPr>
              <w:spacing w:before="120"/>
              <w:contextualSpacing w:val="0"/>
            </w:pPr>
            <w:r w:rsidRPr="00B2674D">
              <w:t>Инвентаризация и отстраняване на проблеми през сигурен WEB интерфейс;</w:t>
            </w:r>
          </w:p>
          <w:p w14:paraId="27320D57" w14:textId="77777777" w:rsidR="00DF098E" w:rsidRPr="00B2674D" w:rsidRDefault="00DF098E" w:rsidP="00DF098E">
            <w:pPr>
              <w:pStyle w:val="ListParagraph"/>
              <w:numPr>
                <w:ilvl w:val="0"/>
                <w:numId w:val="28"/>
              </w:numPr>
              <w:spacing w:before="120"/>
              <w:contextualSpacing w:val="0"/>
            </w:pPr>
            <w:r w:rsidRPr="00B2674D">
              <w:t>Пренасочване на конзола (</w:t>
            </w:r>
            <w:proofErr w:type="spellStart"/>
            <w:r w:rsidRPr="00B2674D">
              <w:t>virtual</w:t>
            </w:r>
            <w:proofErr w:type="spellEnd"/>
            <w:r w:rsidRPr="00B2674D">
              <w:t xml:space="preserve"> KVM  и </w:t>
            </w:r>
            <w:proofErr w:type="spellStart"/>
            <w:r w:rsidRPr="00B2674D">
              <w:t>remоte</w:t>
            </w:r>
            <w:proofErr w:type="spellEnd"/>
            <w:r w:rsidRPr="00B2674D">
              <w:t xml:space="preserve"> </w:t>
            </w:r>
            <w:proofErr w:type="spellStart"/>
            <w:r w:rsidRPr="00B2674D">
              <w:t>virtual</w:t>
            </w:r>
            <w:proofErr w:type="spellEnd"/>
            <w:r w:rsidRPr="00B2674D">
              <w:t xml:space="preserve"> </w:t>
            </w:r>
            <w:proofErr w:type="spellStart"/>
            <w:r w:rsidRPr="00B2674D">
              <w:t>media</w:t>
            </w:r>
            <w:proofErr w:type="spellEnd"/>
            <w:r w:rsidRPr="00B2674D">
              <w:t>);</w:t>
            </w:r>
          </w:p>
          <w:p w14:paraId="46368A03" w14:textId="77777777" w:rsidR="00DF098E" w:rsidRPr="00B2674D" w:rsidRDefault="00DF098E" w:rsidP="00DF098E">
            <w:pPr>
              <w:pStyle w:val="ListParagraph"/>
              <w:numPr>
                <w:ilvl w:val="0"/>
                <w:numId w:val="28"/>
              </w:numPr>
              <w:spacing w:before="120"/>
              <w:contextualSpacing w:val="0"/>
            </w:pPr>
            <w:r w:rsidRPr="00B2674D">
              <w:t>Отдалечено управление;</w:t>
            </w:r>
          </w:p>
        </w:tc>
      </w:tr>
      <w:tr w:rsidR="00DF098E" w:rsidRPr="00BF4EBA" w14:paraId="048CF100" w14:textId="77777777" w:rsidTr="00DF098E">
        <w:tblPrEx>
          <w:tblCellMar>
            <w:left w:w="70" w:type="dxa"/>
            <w:right w:w="70" w:type="dxa"/>
          </w:tblCellMar>
        </w:tblPrEx>
        <w:trPr>
          <w:trHeight w:val="315"/>
        </w:trPr>
        <w:tc>
          <w:tcPr>
            <w:tcW w:w="2410" w:type="dxa"/>
            <w:tcBorders>
              <w:top w:val="nil"/>
              <w:left w:val="single" w:sz="4" w:space="0" w:color="auto"/>
              <w:bottom w:val="single" w:sz="4" w:space="0" w:color="auto"/>
              <w:right w:val="single" w:sz="4" w:space="0" w:color="auto"/>
            </w:tcBorders>
          </w:tcPr>
          <w:p w14:paraId="4399CB47" w14:textId="77777777" w:rsidR="00DF098E" w:rsidRPr="00BF4EBA" w:rsidRDefault="00DF098E" w:rsidP="00AA2B1D">
            <w:pPr>
              <w:pStyle w:val="ListParagraph"/>
              <w:spacing w:before="120"/>
              <w:ind w:left="0"/>
              <w:contextualSpacing w:val="0"/>
            </w:pPr>
            <w:r w:rsidRPr="00BF4EBA">
              <w:t>Поддръжка</w:t>
            </w:r>
          </w:p>
        </w:tc>
        <w:tc>
          <w:tcPr>
            <w:tcW w:w="7371" w:type="dxa"/>
            <w:tcBorders>
              <w:top w:val="nil"/>
              <w:left w:val="single" w:sz="4" w:space="0" w:color="auto"/>
              <w:bottom w:val="single" w:sz="4" w:space="0" w:color="auto"/>
              <w:right w:val="single" w:sz="4" w:space="0" w:color="auto"/>
            </w:tcBorders>
            <w:noWrap/>
            <w:vAlign w:val="center"/>
          </w:tcPr>
          <w:p w14:paraId="7E1847F1" w14:textId="77777777" w:rsidR="00DF098E" w:rsidRPr="00B2674D" w:rsidRDefault="00DF098E" w:rsidP="00AA2B1D">
            <w:pPr>
              <w:pStyle w:val="ListParagraph"/>
              <w:spacing w:before="120"/>
              <w:ind w:left="0"/>
              <w:contextualSpacing w:val="0"/>
            </w:pPr>
            <w:r w:rsidRPr="00B2674D">
              <w:t>3 години 24 x 7 с реакция следващ работен ден</w:t>
            </w:r>
          </w:p>
        </w:tc>
      </w:tr>
    </w:tbl>
    <w:p w14:paraId="2E0637A3" w14:textId="77777777" w:rsidR="00DF098E" w:rsidRPr="00BF4EBA" w:rsidRDefault="00DF098E" w:rsidP="00DF098E"/>
    <w:p w14:paraId="3F912941" w14:textId="77777777" w:rsidR="00DF098E" w:rsidRPr="00BF4EBA" w:rsidRDefault="00DF098E" w:rsidP="00DF098E">
      <w:pPr>
        <w:rPr>
          <w:b/>
        </w:rPr>
      </w:pPr>
      <w:r w:rsidRPr="00BF4EBA">
        <w:rPr>
          <w:b/>
        </w:rPr>
        <w:t>3. Доставка и пускане в експлоатация на дисков масив за съхранение на данни – 1 бр.</w:t>
      </w:r>
    </w:p>
    <w:p w14:paraId="3EE86F91" w14:textId="77777777" w:rsidR="00DF098E" w:rsidRPr="00BF4EBA" w:rsidRDefault="00DF098E" w:rsidP="00DF098E">
      <w:pPr>
        <w:rPr>
          <w:i/>
        </w:rPr>
      </w:pPr>
    </w:p>
    <w:tbl>
      <w:tblPr>
        <w:tblW w:w="9781" w:type="dxa"/>
        <w:tblInd w:w="-497" w:type="dxa"/>
        <w:tblCellMar>
          <w:left w:w="70" w:type="dxa"/>
          <w:right w:w="70" w:type="dxa"/>
        </w:tblCellMar>
        <w:tblLook w:val="00A0" w:firstRow="1" w:lastRow="0" w:firstColumn="1" w:lastColumn="0" w:noHBand="0" w:noVBand="0"/>
      </w:tblPr>
      <w:tblGrid>
        <w:gridCol w:w="2410"/>
        <w:gridCol w:w="7371"/>
      </w:tblGrid>
      <w:tr w:rsidR="00DF098E" w:rsidRPr="006C267E" w14:paraId="7E486710" w14:textId="77777777" w:rsidTr="00DF098E">
        <w:trPr>
          <w:trHeight w:val="64"/>
          <w:tblHeader/>
        </w:trPr>
        <w:tc>
          <w:tcPr>
            <w:tcW w:w="2410" w:type="dxa"/>
            <w:tcBorders>
              <w:top w:val="single" w:sz="4" w:space="0" w:color="auto"/>
              <w:left w:val="single" w:sz="4" w:space="0" w:color="auto"/>
              <w:bottom w:val="single" w:sz="4" w:space="0" w:color="auto"/>
              <w:right w:val="single" w:sz="4" w:space="0" w:color="auto"/>
            </w:tcBorders>
            <w:shd w:val="clear" w:color="auto" w:fill="4F81BD" w:themeFill="accent1"/>
          </w:tcPr>
          <w:p w14:paraId="760CD60E" w14:textId="77777777" w:rsidR="00DF098E" w:rsidRPr="006C267E" w:rsidRDefault="00DF098E" w:rsidP="00AA2B1D">
            <w:pPr>
              <w:rPr>
                <w:b/>
              </w:rPr>
            </w:pPr>
            <w:r w:rsidRPr="006C267E">
              <w:rPr>
                <w:b/>
              </w:rPr>
              <w:t>Параметър</w:t>
            </w:r>
          </w:p>
        </w:tc>
        <w:tc>
          <w:tcPr>
            <w:tcW w:w="7371"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657CC2C2" w14:textId="77777777" w:rsidR="00DF098E" w:rsidRPr="006C267E" w:rsidRDefault="00DF098E" w:rsidP="00AA2B1D">
            <w:pPr>
              <w:rPr>
                <w:b/>
              </w:rPr>
            </w:pPr>
            <w:r w:rsidRPr="006C267E">
              <w:rPr>
                <w:b/>
              </w:rPr>
              <w:t>Минимални технически изисквания за дисков масив:</w:t>
            </w:r>
          </w:p>
        </w:tc>
      </w:tr>
      <w:tr w:rsidR="00DF098E" w:rsidRPr="00BF4EBA" w14:paraId="1F44A536" w14:textId="77777777" w:rsidTr="00DF098E">
        <w:trPr>
          <w:trHeight w:val="630"/>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AA6C1CE" w14:textId="77777777" w:rsidR="00DF098E" w:rsidRPr="00BF4EBA" w:rsidRDefault="00DF098E" w:rsidP="00AA2B1D">
            <w:pPr>
              <w:rPr>
                <w:bCs/>
              </w:rPr>
            </w:pPr>
            <w:r w:rsidRPr="00BF4EBA">
              <w:rPr>
                <w:bCs/>
              </w:rPr>
              <w:t>Производител, модел, адрес на описанието му в сайта на производителя</w:t>
            </w:r>
          </w:p>
        </w:tc>
        <w:tc>
          <w:tcPr>
            <w:tcW w:w="7371" w:type="dxa"/>
            <w:tcBorders>
              <w:top w:val="single" w:sz="4" w:space="0" w:color="auto"/>
              <w:left w:val="single" w:sz="4" w:space="0" w:color="auto"/>
              <w:bottom w:val="single" w:sz="4" w:space="0" w:color="auto"/>
              <w:right w:val="single" w:sz="4" w:space="0" w:color="auto"/>
            </w:tcBorders>
            <w:shd w:val="clear" w:color="auto" w:fill="auto"/>
            <w:noWrap/>
          </w:tcPr>
          <w:p w14:paraId="2A65D261" w14:textId="77777777" w:rsidR="00DF098E" w:rsidRPr="00BF4EBA" w:rsidRDefault="00DF098E" w:rsidP="00AA2B1D">
            <w:pPr>
              <w:rPr>
                <w:b/>
              </w:rPr>
            </w:pPr>
            <w:r w:rsidRPr="00BF4EBA">
              <w:rPr>
                <w:bCs/>
              </w:rPr>
              <w:t>Да се посочат</w:t>
            </w:r>
          </w:p>
        </w:tc>
      </w:tr>
      <w:tr w:rsidR="00DF098E" w:rsidRPr="00BF4EBA" w14:paraId="5B0A0CF0" w14:textId="77777777" w:rsidTr="00DF098E">
        <w:trPr>
          <w:trHeight w:val="394"/>
        </w:trPr>
        <w:tc>
          <w:tcPr>
            <w:tcW w:w="2410" w:type="dxa"/>
            <w:tcBorders>
              <w:top w:val="single" w:sz="4" w:space="0" w:color="auto"/>
              <w:left w:val="single" w:sz="4" w:space="0" w:color="auto"/>
              <w:bottom w:val="single" w:sz="4" w:space="0" w:color="auto"/>
              <w:right w:val="single" w:sz="4" w:space="0" w:color="auto"/>
            </w:tcBorders>
          </w:tcPr>
          <w:p w14:paraId="2782D785" w14:textId="77777777" w:rsidR="00DF098E" w:rsidRPr="00BF4EBA" w:rsidRDefault="00DF098E" w:rsidP="00AA2B1D">
            <w:pPr>
              <w:pStyle w:val="ListParagraph"/>
              <w:tabs>
                <w:tab w:val="left" w:pos="567"/>
              </w:tabs>
              <w:spacing w:before="120"/>
              <w:ind w:left="0"/>
              <w:contextualSpacing w:val="0"/>
            </w:pPr>
            <w:r w:rsidRPr="00BF4EBA">
              <w:t>Архитектура</w:t>
            </w:r>
          </w:p>
        </w:tc>
        <w:tc>
          <w:tcPr>
            <w:tcW w:w="7371" w:type="dxa"/>
            <w:tcBorders>
              <w:top w:val="single" w:sz="4" w:space="0" w:color="auto"/>
              <w:left w:val="single" w:sz="4" w:space="0" w:color="auto"/>
              <w:bottom w:val="single" w:sz="4" w:space="0" w:color="auto"/>
              <w:right w:val="single" w:sz="4" w:space="0" w:color="auto"/>
            </w:tcBorders>
            <w:noWrap/>
          </w:tcPr>
          <w:p w14:paraId="6192C70E" w14:textId="77777777" w:rsidR="00DF098E" w:rsidRPr="00BF4EBA" w:rsidRDefault="00DF098E" w:rsidP="00AA2B1D">
            <w:pPr>
              <w:pStyle w:val="ListParagraph"/>
              <w:tabs>
                <w:tab w:val="left" w:pos="567"/>
              </w:tabs>
              <w:spacing w:before="120"/>
              <w:ind w:left="0"/>
              <w:contextualSpacing w:val="0"/>
            </w:pPr>
            <w:r w:rsidRPr="00BF4EBA">
              <w:t>Модулен високо надежден дисков масив, без нерезервирани критични компоненти, за вграждане в стандартен 19" компютърен шкаф, включваща:</w:t>
            </w:r>
          </w:p>
          <w:p w14:paraId="56EB57B3" w14:textId="77777777" w:rsidR="00DF098E" w:rsidRPr="00B2674D" w:rsidRDefault="00DF098E" w:rsidP="00DF098E">
            <w:pPr>
              <w:pStyle w:val="ListParagraph"/>
              <w:numPr>
                <w:ilvl w:val="0"/>
                <w:numId w:val="30"/>
              </w:numPr>
              <w:tabs>
                <w:tab w:val="left" w:pos="567"/>
              </w:tabs>
              <w:spacing w:before="120"/>
              <w:contextualSpacing w:val="0"/>
            </w:pPr>
            <w:r w:rsidRPr="00B2674D">
              <w:t xml:space="preserve">Минимално два броя резервирани контролери, работещи в режим </w:t>
            </w:r>
            <w:proofErr w:type="spellStart"/>
            <w:r w:rsidRPr="00B2674D">
              <w:t>Active-Active</w:t>
            </w:r>
            <w:proofErr w:type="spellEnd"/>
            <w:r w:rsidRPr="00B2674D">
              <w:t>;</w:t>
            </w:r>
          </w:p>
          <w:p w14:paraId="1D905249" w14:textId="77777777" w:rsidR="00DF098E" w:rsidRPr="00B2674D" w:rsidRDefault="00DF098E" w:rsidP="00DF098E">
            <w:pPr>
              <w:pStyle w:val="ListParagraph"/>
              <w:numPr>
                <w:ilvl w:val="0"/>
                <w:numId w:val="30"/>
              </w:numPr>
              <w:tabs>
                <w:tab w:val="left" w:pos="567"/>
              </w:tabs>
              <w:spacing w:before="120"/>
              <w:contextualSpacing w:val="0"/>
            </w:pPr>
            <w:r w:rsidRPr="00B2674D">
              <w:t xml:space="preserve">Архитектура, позволяваща </w:t>
            </w:r>
            <w:proofErr w:type="spellStart"/>
            <w:r w:rsidRPr="00B2674D">
              <w:t>online</w:t>
            </w:r>
            <w:proofErr w:type="spellEnd"/>
            <w:r w:rsidRPr="00B2674D">
              <w:t xml:space="preserve"> надграждане, успоредно с нарастващите нужди, без спиране на системата;</w:t>
            </w:r>
          </w:p>
          <w:p w14:paraId="44B16F58" w14:textId="77777777" w:rsidR="00DF098E" w:rsidRPr="00B2674D" w:rsidRDefault="00DF098E" w:rsidP="00DF098E">
            <w:pPr>
              <w:pStyle w:val="ListParagraph"/>
              <w:numPr>
                <w:ilvl w:val="0"/>
                <w:numId w:val="30"/>
              </w:numPr>
              <w:tabs>
                <w:tab w:val="left" w:pos="567"/>
              </w:tabs>
              <w:spacing w:before="120"/>
              <w:contextualSpacing w:val="0"/>
            </w:pPr>
            <w:r w:rsidRPr="00B2674D">
              <w:t>Мин. 4GB памет за всеки от контролерите;</w:t>
            </w:r>
          </w:p>
          <w:p w14:paraId="66095EFB" w14:textId="77777777" w:rsidR="00DF098E" w:rsidRPr="00B2674D" w:rsidRDefault="00DF098E" w:rsidP="00DF098E">
            <w:pPr>
              <w:pStyle w:val="ListParagraph"/>
              <w:numPr>
                <w:ilvl w:val="0"/>
                <w:numId w:val="30"/>
              </w:numPr>
              <w:tabs>
                <w:tab w:val="left" w:pos="567"/>
              </w:tabs>
              <w:spacing w:before="120"/>
              <w:contextualSpacing w:val="0"/>
            </w:pPr>
            <w:r w:rsidRPr="00B2674D">
              <w:t>Мин. инсталирани 2 бр. портове 8Gbps FC на всеки контролер;</w:t>
            </w:r>
          </w:p>
          <w:p w14:paraId="108D9F20" w14:textId="77777777" w:rsidR="00DF098E" w:rsidRPr="00B2674D" w:rsidRDefault="00DF098E" w:rsidP="00DF098E">
            <w:pPr>
              <w:pStyle w:val="ListParagraph"/>
              <w:numPr>
                <w:ilvl w:val="0"/>
                <w:numId w:val="30"/>
              </w:numPr>
              <w:tabs>
                <w:tab w:val="left" w:pos="567"/>
              </w:tabs>
              <w:spacing w:before="120"/>
              <w:contextualSpacing w:val="0"/>
            </w:pPr>
            <w:r w:rsidRPr="00B2674D">
              <w:t xml:space="preserve">Инсталиран 1Gbps </w:t>
            </w:r>
            <w:proofErr w:type="spellStart"/>
            <w:r w:rsidRPr="00B2674D">
              <w:t>iSCSI</w:t>
            </w:r>
            <w:proofErr w:type="spellEnd"/>
            <w:r w:rsidRPr="00B2674D">
              <w:t xml:space="preserve"> интерфейс</w:t>
            </w:r>
          </w:p>
          <w:p w14:paraId="241E3D3C" w14:textId="77777777" w:rsidR="00DF098E" w:rsidRPr="00B2674D" w:rsidRDefault="00DF098E" w:rsidP="00DF098E">
            <w:pPr>
              <w:pStyle w:val="ListParagraph"/>
              <w:numPr>
                <w:ilvl w:val="0"/>
                <w:numId w:val="30"/>
              </w:numPr>
              <w:tabs>
                <w:tab w:val="left" w:pos="567"/>
              </w:tabs>
              <w:spacing w:before="120"/>
              <w:contextualSpacing w:val="0"/>
            </w:pPr>
            <w:r w:rsidRPr="00B2674D">
              <w:t>Инсталиран 6Gbps SAS интерфейс</w:t>
            </w:r>
          </w:p>
          <w:p w14:paraId="371FD986" w14:textId="77777777" w:rsidR="00DF098E" w:rsidRPr="00B2674D" w:rsidRDefault="00DF098E" w:rsidP="00DF098E">
            <w:pPr>
              <w:pStyle w:val="ListParagraph"/>
              <w:numPr>
                <w:ilvl w:val="0"/>
                <w:numId w:val="30"/>
              </w:numPr>
              <w:tabs>
                <w:tab w:val="left" w:pos="567"/>
              </w:tabs>
              <w:spacing w:before="120"/>
              <w:contextualSpacing w:val="0"/>
            </w:pPr>
            <w:r w:rsidRPr="00B2674D">
              <w:t xml:space="preserve">Да поддържа 10Gbps </w:t>
            </w:r>
            <w:proofErr w:type="spellStart"/>
            <w:r w:rsidRPr="00B2674D">
              <w:t>iSCSI</w:t>
            </w:r>
            <w:proofErr w:type="spellEnd"/>
            <w:r w:rsidRPr="00B2674D">
              <w:t xml:space="preserve"> като опция</w:t>
            </w:r>
          </w:p>
          <w:p w14:paraId="5BE8C265" w14:textId="77777777" w:rsidR="00DF098E" w:rsidRPr="00B2674D" w:rsidRDefault="00DF098E" w:rsidP="00DF098E">
            <w:pPr>
              <w:pStyle w:val="ListParagraph"/>
              <w:numPr>
                <w:ilvl w:val="0"/>
                <w:numId w:val="30"/>
              </w:numPr>
              <w:tabs>
                <w:tab w:val="left" w:pos="567"/>
              </w:tabs>
              <w:spacing w:before="120"/>
              <w:contextualSpacing w:val="0"/>
            </w:pPr>
            <w:r w:rsidRPr="00B2674D">
              <w:t xml:space="preserve">Да поддържа минимум 2048 </w:t>
            </w:r>
            <w:proofErr w:type="spellStart"/>
            <w:r w:rsidRPr="00B2674D">
              <w:t>volumes</w:t>
            </w:r>
            <w:proofErr w:type="spellEnd"/>
            <w:r w:rsidRPr="00B2674D">
              <w:t xml:space="preserve"> (</w:t>
            </w:r>
            <w:proofErr w:type="spellStart"/>
            <w:r w:rsidRPr="00B2674D">
              <w:t>max</w:t>
            </w:r>
            <w:proofErr w:type="spellEnd"/>
            <w:r w:rsidRPr="00B2674D">
              <w:t xml:space="preserve"> </w:t>
            </w:r>
            <w:proofErr w:type="spellStart"/>
            <w:r w:rsidRPr="00B2674D">
              <w:t>size</w:t>
            </w:r>
            <w:proofErr w:type="spellEnd"/>
            <w:r w:rsidRPr="00B2674D">
              <w:t xml:space="preserve"> 256TB)</w:t>
            </w:r>
          </w:p>
          <w:p w14:paraId="0B7678EF" w14:textId="77777777" w:rsidR="00DF098E" w:rsidRPr="00BF4EBA" w:rsidRDefault="00DF098E" w:rsidP="00DF098E">
            <w:pPr>
              <w:pStyle w:val="ListParagraph"/>
              <w:numPr>
                <w:ilvl w:val="0"/>
                <w:numId w:val="30"/>
              </w:numPr>
              <w:tabs>
                <w:tab w:val="left" w:pos="567"/>
              </w:tabs>
              <w:spacing w:before="120"/>
              <w:contextualSpacing w:val="0"/>
            </w:pPr>
            <w:r w:rsidRPr="00B2674D">
              <w:t xml:space="preserve">Да поддържа минимум 128 </w:t>
            </w:r>
            <w:proofErr w:type="spellStart"/>
            <w:r w:rsidRPr="00B2674D">
              <w:t>storage</w:t>
            </w:r>
            <w:proofErr w:type="spellEnd"/>
            <w:r w:rsidRPr="00B2674D">
              <w:t xml:space="preserve"> </w:t>
            </w:r>
            <w:proofErr w:type="spellStart"/>
            <w:r w:rsidRPr="00B2674D">
              <w:t>pools</w:t>
            </w:r>
            <w:proofErr w:type="spellEnd"/>
            <w:r w:rsidRPr="00B2674D">
              <w:t xml:space="preserve">, минимум 256 </w:t>
            </w:r>
            <w:proofErr w:type="spellStart"/>
            <w:r w:rsidRPr="00B2674D">
              <w:t>hosts</w:t>
            </w:r>
            <w:proofErr w:type="spellEnd"/>
            <w:r w:rsidRPr="00B2674D">
              <w:t xml:space="preserve"> и минимум 512 </w:t>
            </w:r>
            <w:proofErr w:type="spellStart"/>
            <w:r w:rsidRPr="00B2674D">
              <w:t>partitions</w:t>
            </w:r>
            <w:proofErr w:type="spellEnd"/>
          </w:p>
        </w:tc>
      </w:tr>
      <w:tr w:rsidR="00DF098E" w:rsidRPr="00BF4EBA" w14:paraId="47317C1A" w14:textId="77777777" w:rsidTr="00DF098E">
        <w:trPr>
          <w:trHeight w:val="394"/>
        </w:trPr>
        <w:tc>
          <w:tcPr>
            <w:tcW w:w="2410" w:type="dxa"/>
            <w:tcBorders>
              <w:top w:val="single" w:sz="4" w:space="0" w:color="auto"/>
              <w:left w:val="single" w:sz="4" w:space="0" w:color="auto"/>
              <w:bottom w:val="single" w:sz="4" w:space="0" w:color="auto"/>
              <w:right w:val="single" w:sz="4" w:space="0" w:color="auto"/>
            </w:tcBorders>
          </w:tcPr>
          <w:p w14:paraId="2B9F4228" w14:textId="77777777" w:rsidR="00DF098E" w:rsidRPr="00BF4EBA" w:rsidRDefault="00DF098E" w:rsidP="00AA2B1D">
            <w:pPr>
              <w:pStyle w:val="ListParagraph"/>
              <w:tabs>
                <w:tab w:val="left" w:pos="567"/>
              </w:tabs>
              <w:spacing w:before="120"/>
              <w:ind w:left="0"/>
              <w:contextualSpacing w:val="0"/>
            </w:pPr>
            <w:r w:rsidRPr="00BF4EBA">
              <w:t>Поддръжка на компоненти</w:t>
            </w:r>
          </w:p>
        </w:tc>
        <w:tc>
          <w:tcPr>
            <w:tcW w:w="7371" w:type="dxa"/>
            <w:tcBorders>
              <w:top w:val="single" w:sz="4" w:space="0" w:color="auto"/>
              <w:left w:val="single" w:sz="4" w:space="0" w:color="auto"/>
              <w:bottom w:val="single" w:sz="4" w:space="0" w:color="auto"/>
              <w:right w:val="single" w:sz="4" w:space="0" w:color="auto"/>
            </w:tcBorders>
            <w:noWrap/>
          </w:tcPr>
          <w:p w14:paraId="17B9D2BF" w14:textId="77777777" w:rsidR="00DF098E" w:rsidRPr="00B2674D" w:rsidRDefault="00DF098E" w:rsidP="00DF098E">
            <w:pPr>
              <w:pStyle w:val="ListParagraph"/>
              <w:numPr>
                <w:ilvl w:val="0"/>
                <w:numId w:val="31"/>
              </w:numPr>
              <w:tabs>
                <w:tab w:val="left" w:pos="567"/>
              </w:tabs>
              <w:spacing w:before="120"/>
              <w:contextualSpacing w:val="0"/>
            </w:pPr>
            <w:r w:rsidRPr="00B2674D">
              <w:t>Да поддържа мин. SAS и SSD дискови устройства; възможност за работа с 3.5" (LFF) и 2.5" (SFF) дискове;</w:t>
            </w:r>
          </w:p>
          <w:p w14:paraId="4ED6B789" w14:textId="77777777" w:rsidR="00DF098E" w:rsidRPr="00B2674D" w:rsidRDefault="00DF098E" w:rsidP="00DF098E">
            <w:pPr>
              <w:pStyle w:val="ListParagraph"/>
              <w:numPr>
                <w:ilvl w:val="0"/>
                <w:numId w:val="31"/>
              </w:numPr>
              <w:tabs>
                <w:tab w:val="left" w:pos="567"/>
              </w:tabs>
              <w:spacing w:before="120"/>
              <w:contextualSpacing w:val="0"/>
            </w:pPr>
            <w:r w:rsidRPr="00B2674D">
              <w:t xml:space="preserve">Да поддържа разширение до мин. 240 дискови устройства, </w:t>
            </w:r>
            <w:r w:rsidRPr="00B2674D">
              <w:lastRenderedPageBreak/>
              <w:t>независимо от техния тип (SSD, SAS или NL-SAS) и скорост на въртене при размер 2,5“ или 120 диска при размер 3,5“;</w:t>
            </w:r>
          </w:p>
          <w:p w14:paraId="1E4BEDEB" w14:textId="77777777" w:rsidR="00DF098E" w:rsidRPr="00B2674D" w:rsidRDefault="00DF098E" w:rsidP="00DF098E">
            <w:pPr>
              <w:pStyle w:val="ListParagraph"/>
              <w:numPr>
                <w:ilvl w:val="0"/>
                <w:numId w:val="31"/>
              </w:numPr>
              <w:tabs>
                <w:tab w:val="left" w:pos="567"/>
              </w:tabs>
              <w:spacing w:before="120"/>
              <w:contextualSpacing w:val="0"/>
            </w:pPr>
            <w:r w:rsidRPr="00B2674D">
              <w:t>Да поддържа RAID 0, 1, 10, 5, 6 или еквивалент;</w:t>
            </w:r>
          </w:p>
          <w:p w14:paraId="61F32078" w14:textId="77777777" w:rsidR="00DF098E" w:rsidRPr="00B2674D" w:rsidRDefault="00DF098E" w:rsidP="00DF098E">
            <w:pPr>
              <w:pStyle w:val="ListParagraph"/>
              <w:numPr>
                <w:ilvl w:val="0"/>
                <w:numId w:val="31"/>
              </w:numPr>
              <w:tabs>
                <w:tab w:val="left" w:pos="567"/>
              </w:tabs>
              <w:spacing w:before="120"/>
              <w:contextualSpacing w:val="0"/>
            </w:pPr>
            <w:r w:rsidRPr="00B2674D">
              <w:t>Да поддържа капацитет до минимум 480</w:t>
            </w:r>
            <w:r w:rsidRPr="00B2674D">
              <w:rPr>
                <w:lang w:val="en-US"/>
              </w:rPr>
              <w:t>TB</w:t>
            </w:r>
          </w:p>
        </w:tc>
      </w:tr>
      <w:tr w:rsidR="00DF098E" w:rsidRPr="00BF4EBA" w14:paraId="0FF394D7" w14:textId="77777777" w:rsidTr="00DF098E">
        <w:trPr>
          <w:trHeight w:val="349"/>
        </w:trPr>
        <w:tc>
          <w:tcPr>
            <w:tcW w:w="2410" w:type="dxa"/>
            <w:tcBorders>
              <w:top w:val="nil"/>
              <w:left w:val="single" w:sz="4" w:space="0" w:color="auto"/>
              <w:bottom w:val="single" w:sz="4" w:space="0" w:color="auto"/>
              <w:right w:val="single" w:sz="4" w:space="0" w:color="auto"/>
            </w:tcBorders>
          </w:tcPr>
          <w:p w14:paraId="5072C97C" w14:textId="77777777" w:rsidR="00DF098E" w:rsidRPr="00BF4EBA" w:rsidRDefault="00DF098E" w:rsidP="00AA2B1D">
            <w:pPr>
              <w:pStyle w:val="ListParagraph"/>
              <w:spacing w:before="120"/>
              <w:ind w:left="0"/>
              <w:contextualSpacing w:val="0"/>
            </w:pPr>
            <w:r w:rsidRPr="00BF4EBA">
              <w:lastRenderedPageBreak/>
              <w:t>Инсталирано дисково пространство</w:t>
            </w:r>
          </w:p>
        </w:tc>
        <w:tc>
          <w:tcPr>
            <w:tcW w:w="7371" w:type="dxa"/>
            <w:tcBorders>
              <w:top w:val="nil"/>
              <w:left w:val="single" w:sz="4" w:space="0" w:color="auto"/>
              <w:bottom w:val="single" w:sz="4" w:space="0" w:color="auto"/>
              <w:right w:val="single" w:sz="4" w:space="0" w:color="auto"/>
            </w:tcBorders>
            <w:noWrap/>
            <w:vAlign w:val="center"/>
          </w:tcPr>
          <w:p w14:paraId="5EA8844B" w14:textId="77777777" w:rsidR="00DF098E" w:rsidRPr="00B2674D" w:rsidRDefault="00DF098E" w:rsidP="00AA2B1D">
            <w:pPr>
              <w:pStyle w:val="ListParagraph"/>
              <w:spacing w:before="120"/>
              <w:ind w:left="0"/>
              <w:contextualSpacing w:val="0"/>
            </w:pPr>
            <w:r w:rsidRPr="00B2674D">
              <w:t>Дисковият масив да разполага с три обособени типа капацитетни слоеве (</w:t>
            </w:r>
            <w:proofErr w:type="spellStart"/>
            <w:r w:rsidRPr="00B2674D">
              <w:t>tiers</w:t>
            </w:r>
            <w:proofErr w:type="spellEnd"/>
            <w:r w:rsidRPr="00B2674D">
              <w:t>), както следва:</w:t>
            </w:r>
          </w:p>
          <w:p w14:paraId="01E820D2" w14:textId="77777777" w:rsidR="00DF098E" w:rsidRPr="00B2674D" w:rsidRDefault="00DF098E" w:rsidP="00DF098E">
            <w:pPr>
              <w:pStyle w:val="ListParagraph"/>
              <w:numPr>
                <w:ilvl w:val="0"/>
                <w:numId w:val="32"/>
              </w:numPr>
              <w:spacing w:before="120"/>
              <w:contextualSpacing w:val="0"/>
            </w:pPr>
            <w:r w:rsidRPr="00B2674D">
              <w:t xml:space="preserve">Капацитет от бавни (мин. 7.2К </w:t>
            </w:r>
            <w:proofErr w:type="spellStart"/>
            <w:r w:rsidRPr="00B2674D">
              <w:t>rpm</w:t>
            </w:r>
            <w:proofErr w:type="spellEnd"/>
            <w:r w:rsidRPr="00B2674D">
              <w:t>) дискове 6Gb/s интерфейс, най-малко 10 на брой, с единичен капацитет не по-малък от 2ТB;</w:t>
            </w:r>
          </w:p>
          <w:p w14:paraId="413FB729" w14:textId="77777777" w:rsidR="00DF098E" w:rsidRPr="00B2674D" w:rsidRDefault="00DF098E" w:rsidP="00DF098E">
            <w:pPr>
              <w:pStyle w:val="ListParagraph"/>
              <w:numPr>
                <w:ilvl w:val="0"/>
                <w:numId w:val="32"/>
              </w:numPr>
              <w:spacing w:before="120"/>
              <w:contextualSpacing w:val="0"/>
            </w:pPr>
            <w:r w:rsidRPr="00B2674D">
              <w:t xml:space="preserve">Капацитет от бързи (мин. 10К </w:t>
            </w:r>
            <w:proofErr w:type="spellStart"/>
            <w:r w:rsidRPr="00B2674D">
              <w:t>rpm</w:t>
            </w:r>
            <w:proofErr w:type="spellEnd"/>
            <w:r w:rsidRPr="00B2674D">
              <w:t>) високо надеждни дискове 6Gb/s интерфейс, най-малко 20 на брой, с единичен капацитет не по-малък от 600GB;</w:t>
            </w:r>
          </w:p>
          <w:p w14:paraId="44627371" w14:textId="77777777" w:rsidR="00DF098E" w:rsidRPr="00B2674D" w:rsidRDefault="00DF098E" w:rsidP="00DF098E">
            <w:pPr>
              <w:pStyle w:val="ListParagraph"/>
              <w:numPr>
                <w:ilvl w:val="0"/>
                <w:numId w:val="32"/>
              </w:numPr>
              <w:spacing w:before="120"/>
              <w:contextualSpacing w:val="0"/>
            </w:pPr>
            <w:r w:rsidRPr="00B2674D">
              <w:t xml:space="preserve">Капацитет от високопроизводителни Flash/SSD носители, задължително от тип </w:t>
            </w:r>
            <w:proofErr w:type="spellStart"/>
            <w:r w:rsidRPr="00B2674D">
              <w:t>Single</w:t>
            </w:r>
            <w:proofErr w:type="spellEnd"/>
            <w:r w:rsidRPr="00B2674D">
              <w:t xml:space="preserve"> </w:t>
            </w:r>
            <w:proofErr w:type="spellStart"/>
            <w:r w:rsidRPr="00B2674D">
              <w:t>Level</w:t>
            </w:r>
            <w:proofErr w:type="spellEnd"/>
            <w:r w:rsidRPr="00B2674D">
              <w:t xml:space="preserve"> </w:t>
            </w:r>
            <w:proofErr w:type="spellStart"/>
            <w:r w:rsidRPr="00B2674D">
              <w:t>Cell</w:t>
            </w:r>
            <w:proofErr w:type="spellEnd"/>
            <w:r w:rsidRPr="00B2674D">
              <w:t xml:space="preserve"> (SLC, доказва се с документ от </w:t>
            </w:r>
            <w:proofErr w:type="spellStart"/>
            <w:r w:rsidRPr="00B2674D">
              <w:t>призводителя</w:t>
            </w:r>
            <w:proofErr w:type="spellEnd"/>
            <w:r w:rsidRPr="00B2674D">
              <w:t>), най-малко 4 на брой, с единичен капацитет не по-малък от 200GB;</w:t>
            </w:r>
          </w:p>
        </w:tc>
      </w:tr>
      <w:tr w:rsidR="00DF098E" w:rsidRPr="00BF4EBA" w14:paraId="31F1AE62" w14:textId="77777777" w:rsidTr="00DF098E">
        <w:trPr>
          <w:trHeight w:val="349"/>
        </w:trPr>
        <w:tc>
          <w:tcPr>
            <w:tcW w:w="2410" w:type="dxa"/>
            <w:tcBorders>
              <w:top w:val="nil"/>
              <w:left w:val="single" w:sz="4" w:space="0" w:color="auto"/>
              <w:bottom w:val="single" w:sz="4" w:space="0" w:color="auto"/>
              <w:right w:val="single" w:sz="4" w:space="0" w:color="auto"/>
            </w:tcBorders>
            <w:shd w:val="clear" w:color="auto" w:fill="FFFFFF"/>
          </w:tcPr>
          <w:p w14:paraId="0EA1A6F8" w14:textId="77777777" w:rsidR="00DF098E" w:rsidRPr="00BF4EBA" w:rsidRDefault="00DF098E" w:rsidP="00AA2B1D">
            <w:pPr>
              <w:pStyle w:val="ListParagraph"/>
              <w:spacing w:before="120"/>
              <w:ind w:left="0"/>
              <w:contextualSpacing w:val="0"/>
              <w:rPr>
                <w:b/>
              </w:rPr>
            </w:pPr>
            <w:r w:rsidRPr="00BF4EBA">
              <w:t>Включени лицензи</w:t>
            </w:r>
          </w:p>
        </w:tc>
        <w:tc>
          <w:tcPr>
            <w:tcW w:w="7371" w:type="dxa"/>
            <w:tcBorders>
              <w:top w:val="nil"/>
              <w:left w:val="single" w:sz="4" w:space="0" w:color="auto"/>
              <w:bottom w:val="single" w:sz="4" w:space="0" w:color="auto"/>
              <w:right w:val="single" w:sz="4" w:space="0" w:color="auto"/>
            </w:tcBorders>
            <w:shd w:val="clear" w:color="auto" w:fill="FFFFFF"/>
            <w:noWrap/>
            <w:vAlign w:val="center"/>
          </w:tcPr>
          <w:p w14:paraId="6A8F27AC" w14:textId="77777777" w:rsidR="00DF098E" w:rsidRPr="00BF4EBA" w:rsidRDefault="00DF098E" w:rsidP="00AA2B1D">
            <w:pPr>
              <w:pStyle w:val="ListParagraph"/>
              <w:spacing w:before="120"/>
              <w:ind w:left="0"/>
              <w:contextualSpacing w:val="0"/>
            </w:pPr>
            <w:r w:rsidRPr="00BF4EBA">
              <w:t>Дисковият масив да се достави със следните лицензи за функционалност за максималния дисков капацитет:</w:t>
            </w:r>
          </w:p>
          <w:p w14:paraId="10F1D870" w14:textId="77777777" w:rsidR="00DF098E" w:rsidRPr="00BF4EBA" w:rsidRDefault="00DF098E" w:rsidP="00DF098E">
            <w:pPr>
              <w:pStyle w:val="ListParagraph"/>
              <w:numPr>
                <w:ilvl w:val="0"/>
                <w:numId w:val="33"/>
              </w:numPr>
              <w:spacing w:before="120"/>
              <w:contextualSpacing w:val="0"/>
            </w:pPr>
            <w:r w:rsidRPr="00BF4EBA">
              <w:t xml:space="preserve">Динамично LUN </w:t>
            </w:r>
            <w:proofErr w:type="spellStart"/>
            <w:r w:rsidRPr="00BF4EBA">
              <w:t>провизиране</w:t>
            </w:r>
            <w:proofErr w:type="spellEnd"/>
            <w:r w:rsidRPr="00BF4EBA">
              <w:t xml:space="preserve"> (</w:t>
            </w:r>
            <w:proofErr w:type="spellStart"/>
            <w:r w:rsidRPr="00BF4EBA">
              <w:t>Thin</w:t>
            </w:r>
            <w:proofErr w:type="spellEnd"/>
            <w:r w:rsidRPr="00BF4EBA">
              <w:t xml:space="preserve"> </w:t>
            </w:r>
            <w:proofErr w:type="spellStart"/>
            <w:r w:rsidRPr="00BF4EBA">
              <w:t>Provisioning</w:t>
            </w:r>
            <w:proofErr w:type="spellEnd"/>
            <w:r w:rsidRPr="00BF4EBA">
              <w:t>);</w:t>
            </w:r>
          </w:p>
          <w:p w14:paraId="29090A32" w14:textId="77777777" w:rsidR="00DF098E" w:rsidRPr="00BF4EBA" w:rsidRDefault="00DF098E" w:rsidP="00DF098E">
            <w:pPr>
              <w:pStyle w:val="ListParagraph"/>
              <w:numPr>
                <w:ilvl w:val="0"/>
                <w:numId w:val="33"/>
              </w:numPr>
              <w:spacing w:before="120"/>
              <w:contextualSpacing w:val="0"/>
            </w:pPr>
            <w:r w:rsidRPr="00BF4EBA">
              <w:t>Създаване на локални копия тип “</w:t>
            </w:r>
            <w:proofErr w:type="spellStart"/>
            <w:r w:rsidRPr="00BF4EBA">
              <w:t>clone‘</w:t>
            </w:r>
            <w:proofErr w:type="spellEnd"/>
            <w:r w:rsidRPr="00BF4EBA">
              <w:t xml:space="preserve"> и “</w:t>
            </w:r>
            <w:proofErr w:type="spellStart"/>
            <w:r w:rsidRPr="00BF4EBA">
              <w:t>snapshot</w:t>
            </w:r>
            <w:proofErr w:type="spellEnd"/>
            <w:r w:rsidRPr="00BF4EBA">
              <w:t>”;</w:t>
            </w:r>
          </w:p>
          <w:p w14:paraId="5AD8DAE8" w14:textId="77777777" w:rsidR="00DF098E" w:rsidRPr="00BF4EBA" w:rsidRDefault="00DF098E" w:rsidP="00DF098E">
            <w:pPr>
              <w:pStyle w:val="ListParagraph"/>
              <w:numPr>
                <w:ilvl w:val="0"/>
                <w:numId w:val="33"/>
              </w:numPr>
              <w:spacing w:before="120"/>
              <w:contextualSpacing w:val="0"/>
            </w:pPr>
            <w:r w:rsidRPr="00BF4EBA">
              <w:t>Автоматично преразпределяне на данните при добавяне на нови дискове;</w:t>
            </w:r>
          </w:p>
          <w:p w14:paraId="4C52DFB4" w14:textId="77777777" w:rsidR="00DF098E" w:rsidRPr="00BF4EBA" w:rsidRDefault="00DF098E" w:rsidP="00DF098E">
            <w:pPr>
              <w:pStyle w:val="ListParagraph"/>
              <w:numPr>
                <w:ilvl w:val="0"/>
                <w:numId w:val="33"/>
              </w:numPr>
              <w:spacing w:before="120"/>
              <w:contextualSpacing w:val="0"/>
            </w:pPr>
            <w:r w:rsidRPr="00BF4EBA">
              <w:t>Преместване на логически дялове (LUN) между различни RAID групи без прекъсване работата към хостовете (</w:t>
            </w:r>
            <w:proofErr w:type="spellStart"/>
            <w:r w:rsidRPr="00BF4EBA">
              <w:t>Online</w:t>
            </w:r>
            <w:proofErr w:type="spellEnd"/>
            <w:r w:rsidRPr="00BF4EBA">
              <w:t xml:space="preserve"> Data </w:t>
            </w:r>
            <w:proofErr w:type="spellStart"/>
            <w:r w:rsidRPr="00BF4EBA">
              <w:t>and</w:t>
            </w:r>
            <w:proofErr w:type="spellEnd"/>
            <w:r w:rsidRPr="00BF4EBA">
              <w:t xml:space="preserve"> </w:t>
            </w:r>
            <w:proofErr w:type="spellStart"/>
            <w:r w:rsidRPr="00BF4EBA">
              <w:t>volume</w:t>
            </w:r>
            <w:proofErr w:type="spellEnd"/>
            <w:r w:rsidRPr="00BF4EBA">
              <w:t xml:space="preserve"> </w:t>
            </w:r>
            <w:proofErr w:type="spellStart"/>
            <w:r w:rsidRPr="00BF4EBA">
              <w:t>migration</w:t>
            </w:r>
            <w:proofErr w:type="spellEnd"/>
            <w:r w:rsidRPr="00BF4EBA">
              <w:t>);</w:t>
            </w:r>
          </w:p>
          <w:p w14:paraId="225CEC09" w14:textId="77777777" w:rsidR="00DF098E" w:rsidRPr="00BF4EBA" w:rsidRDefault="00DF098E" w:rsidP="00DF098E">
            <w:pPr>
              <w:pStyle w:val="ListParagraph"/>
              <w:numPr>
                <w:ilvl w:val="0"/>
                <w:numId w:val="33"/>
              </w:numPr>
              <w:spacing w:before="120"/>
              <w:contextualSpacing w:val="0"/>
            </w:pPr>
            <w:r w:rsidRPr="00BF4EBA">
              <w:t xml:space="preserve">Автоматизирано преместване на блокове от данни между трите капацитетни слоя едновременно в зависимост от честотата на използване (най-често използваните върху по-бързи и производителни дискове, най-рядко </w:t>
            </w:r>
            <w:proofErr w:type="spellStart"/>
            <w:r w:rsidRPr="00BF4EBA">
              <w:t>изпозваните</w:t>
            </w:r>
            <w:proofErr w:type="spellEnd"/>
            <w:r w:rsidRPr="00BF4EBA">
              <w:t xml:space="preserve"> върху бавни дискове), на ниво блок (</w:t>
            </w:r>
            <w:proofErr w:type="spellStart"/>
            <w:r w:rsidRPr="00BF4EBA">
              <w:t>sub-LUN</w:t>
            </w:r>
            <w:proofErr w:type="spellEnd"/>
            <w:r w:rsidRPr="00BF4EBA">
              <w:t xml:space="preserve"> </w:t>
            </w:r>
            <w:proofErr w:type="spellStart"/>
            <w:r w:rsidRPr="00BF4EBA">
              <w:t>Automated</w:t>
            </w:r>
            <w:proofErr w:type="spellEnd"/>
            <w:r w:rsidRPr="00BF4EBA">
              <w:t xml:space="preserve"> </w:t>
            </w:r>
            <w:proofErr w:type="spellStart"/>
            <w:r w:rsidRPr="00BF4EBA">
              <w:t>Storage</w:t>
            </w:r>
            <w:proofErr w:type="spellEnd"/>
            <w:r w:rsidRPr="00BF4EBA">
              <w:t xml:space="preserve"> </w:t>
            </w:r>
            <w:proofErr w:type="spellStart"/>
            <w:r w:rsidRPr="00BF4EBA">
              <w:t>Tiering</w:t>
            </w:r>
            <w:proofErr w:type="spellEnd"/>
            <w:r w:rsidRPr="00BF4EBA">
              <w:t>);</w:t>
            </w:r>
          </w:p>
          <w:p w14:paraId="61D7E178" w14:textId="77777777" w:rsidR="00DF098E" w:rsidRPr="00BF4EBA" w:rsidRDefault="00DF098E" w:rsidP="00DF098E">
            <w:pPr>
              <w:pStyle w:val="ListParagraph"/>
              <w:numPr>
                <w:ilvl w:val="0"/>
                <w:numId w:val="33"/>
              </w:numPr>
              <w:spacing w:before="120"/>
              <w:contextualSpacing w:val="0"/>
            </w:pPr>
            <w:r w:rsidRPr="00BF4EBA">
              <w:t xml:space="preserve">Функционалност за </w:t>
            </w:r>
            <w:proofErr w:type="spellStart"/>
            <w:r w:rsidRPr="00BF4EBA">
              <w:t>приоритизация</w:t>
            </w:r>
            <w:proofErr w:type="spellEnd"/>
            <w:r w:rsidRPr="00BF4EBA">
              <w:t xml:space="preserve"> на задачите (</w:t>
            </w:r>
            <w:proofErr w:type="spellStart"/>
            <w:r w:rsidRPr="00BF4EBA">
              <w:t>QoS</w:t>
            </w:r>
            <w:proofErr w:type="spellEnd"/>
            <w:r w:rsidRPr="00BF4EBA">
              <w:t>);</w:t>
            </w:r>
          </w:p>
        </w:tc>
      </w:tr>
      <w:tr w:rsidR="00DF098E" w:rsidRPr="00BF4EBA" w14:paraId="2E315108" w14:textId="77777777" w:rsidTr="00DF098E">
        <w:trPr>
          <w:trHeight w:val="349"/>
        </w:trPr>
        <w:tc>
          <w:tcPr>
            <w:tcW w:w="2410" w:type="dxa"/>
            <w:tcBorders>
              <w:top w:val="single" w:sz="4" w:space="0" w:color="auto"/>
              <w:left w:val="single" w:sz="4" w:space="0" w:color="auto"/>
              <w:bottom w:val="single" w:sz="4" w:space="0" w:color="auto"/>
              <w:right w:val="single" w:sz="4" w:space="0" w:color="auto"/>
            </w:tcBorders>
          </w:tcPr>
          <w:p w14:paraId="1FBBADC3" w14:textId="77777777" w:rsidR="00DF098E" w:rsidRPr="00BF4EBA" w:rsidRDefault="00DF098E" w:rsidP="00AA2B1D">
            <w:pPr>
              <w:pStyle w:val="ListParagraph"/>
              <w:spacing w:before="120"/>
              <w:ind w:left="0"/>
              <w:contextualSpacing w:val="0"/>
            </w:pPr>
            <w:r w:rsidRPr="00BF4EBA">
              <w:t>Окомплектовка</w:t>
            </w:r>
          </w:p>
        </w:tc>
        <w:tc>
          <w:tcPr>
            <w:tcW w:w="7371" w:type="dxa"/>
            <w:tcBorders>
              <w:top w:val="single" w:sz="4" w:space="0" w:color="auto"/>
              <w:left w:val="single" w:sz="4" w:space="0" w:color="auto"/>
              <w:bottom w:val="single" w:sz="4" w:space="0" w:color="auto"/>
              <w:right w:val="single" w:sz="4" w:space="0" w:color="auto"/>
            </w:tcBorders>
            <w:noWrap/>
            <w:vAlign w:val="center"/>
          </w:tcPr>
          <w:p w14:paraId="7E05C23D" w14:textId="77777777" w:rsidR="00DF098E" w:rsidRPr="00BF4EBA" w:rsidRDefault="00DF098E" w:rsidP="00DF098E">
            <w:pPr>
              <w:pStyle w:val="ListParagraph"/>
              <w:numPr>
                <w:ilvl w:val="0"/>
                <w:numId w:val="34"/>
              </w:numPr>
              <w:spacing w:before="120"/>
              <w:contextualSpacing w:val="0"/>
            </w:pPr>
            <w:r w:rsidRPr="00BF4EBA">
              <w:t>Всички необходими разширителни кутии за дискове, захранващи и свързващи кабели, за нормалната експлоатация на системата;</w:t>
            </w:r>
          </w:p>
          <w:p w14:paraId="3DF9AB67" w14:textId="77777777" w:rsidR="00DF098E" w:rsidRPr="00BF4EBA" w:rsidRDefault="00DF098E" w:rsidP="00DF098E">
            <w:pPr>
              <w:pStyle w:val="ListParagraph"/>
              <w:numPr>
                <w:ilvl w:val="0"/>
                <w:numId w:val="34"/>
              </w:numPr>
              <w:spacing w:before="120"/>
              <w:contextualSpacing w:val="0"/>
            </w:pPr>
            <w:r w:rsidRPr="00BF4EBA">
              <w:t xml:space="preserve">Да бъде доставена с </w:t>
            </w:r>
            <w:proofErr w:type="spellStart"/>
            <w:r w:rsidRPr="00BF4EBA">
              <w:t>hot</w:t>
            </w:r>
            <w:proofErr w:type="spellEnd"/>
            <w:r w:rsidRPr="00BF4EBA">
              <w:t xml:space="preserve"> </w:t>
            </w:r>
            <w:proofErr w:type="spellStart"/>
            <w:r w:rsidRPr="00BF4EBA">
              <w:t>plug</w:t>
            </w:r>
            <w:proofErr w:type="spellEnd"/>
            <w:r w:rsidRPr="00BF4EBA">
              <w:t xml:space="preserve"> резервирани захранвания и </w:t>
            </w:r>
            <w:proofErr w:type="spellStart"/>
            <w:r w:rsidRPr="00BF4EBA">
              <w:t>hot</w:t>
            </w:r>
            <w:proofErr w:type="spellEnd"/>
            <w:r w:rsidRPr="00BF4EBA">
              <w:t xml:space="preserve"> </w:t>
            </w:r>
            <w:proofErr w:type="spellStart"/>
            <w:r w:rsidRPr="00BF4EBA">
              <w:t>plug</w:t>
            </w:r>
            <w:proofErr w:type="spellEnd"/>
            <w:r w:rsidRPr="00BF4EBA">
              <w:t xml:space="preserve"> резервирани вентилатори;</w:t>
            </w:r>
          </w:p>
        </w:tc>
      </w:tr>
      <w:tr w:rsidR="00DF098E" w:rsidRPr="00BF4EBA" w14:paraId="312EB2A9" w14:textId="77777777" w:rsidTr="00DF098E">
        <w:trPr>
          <w:trHeight w:val="349"/>
        </w:trPr>
        <w:tc>
          <w:tcPr>
            <w:tcW w:w="2410" w:type="dxa"/>
            <w:tcBorders>
              <w:top w:val="nil"/>
              <w:left w:val="single" w:sz="4" w:space="0" w:color="auto"/>
              <w:bottom w:val="single" w:sz="4" w:space="0" w:color="auto"/>
              <w:right w:val="single" w:sz="4" w:space="0" w:color="auto"/>
            </w:tcBorders>
          </w:tcPr>
          <w:p w14:paraId="34FE65BE" w14:textId="77777777" w:rsidR="00DF098E" w:rsidRPr="00BF4EBA" w:rsidRDefault="00DF098E" w:rsidP="00AA2B1D">
            <w:pPr>
              <w:pStyle w:val="ListParagraph"/>
              <w:spacing w:before="120"/>
              <w:ind w:left="0"/>
              <w:contextualSpacing w:val="0"/>
            </w:pPr>
            <w:r w:rsidRPr="00BF4EBA">
              <w:t>Поддръжка на операционни системи на хостовете</w:t>
            </w:r>
          </w:p>
        </w:tc>
        <w:tc>
          <w:tcPr>
            <w:tcW w:w="7371" w:type="dxa"/>
            <w:tcBorders>
              <w:top w:val="nil"/>
              <w:left w:val="single" w:sz="4" w:space="0" w:color="auto"/>
              <w:bottom w:val="single" w:sz="4" w:space="0" w:color="auto"/>
              <w:right w:val="single" w:sz="4" w:space="0" w:color="auto"/>
            </w:tcBorders>
            <w:noWrap/>
            <w:vAlign w:val="center"/>
          </w:tcPr>
          <w:p w14:paraId="1E91E897" w14:textId="77777777" w:rsidR="00DF098E" w:rsidRPr="00BF4EBA" w:rsidRDefault="00DF098E" w:rsidP="00DF098E">
            <w:pPr>
              <w:pStyle w:val="ListParagraph"/>
              <w:numPr>
                <w:ilvl w:val="0"/>
                <w:numId w:val="29"/>
              </w:numPr>
              <w:spacing w:before="120"/>
              <w:ind w:left="714" w:hanging="357"/>
              <w:contextualSpacing w:val="0"/>
            </w:pPr>
            <w:r w:rsidRPr="00BF4EBA">
              <w:t xml:space="preserve">Microsoft Windows 2008 &amp; 2012 Server; </w:t>
            </w:r>
          </w:p>
          <w:p w14:paraId="5E94B608" w14:textId="77777777" w:rsidR="00DF098E" w:rsidRPr="00BF4EBA" w:rsidRDefault="00DF098E" w:rsidP="00DF098E">
            <w:pPr>
              <w:pStyle w:val="ListParagraph"/>
              <w:numPr>
                <w:ilvl w:val="0"/>
                <w:numId w:val="29"/>
              </w:numPr>
              <w:spacing w:before="120"/>
              <w:ind w:left="714" w:hanging="357"/>
              <w:contextualSpacing w:val="0"/>
            </w:pPr>
            <w:proofErr w:type="spellStart"/>
            <w:r w:rsidRPr="00BF4EBA">
              <w:t>Linux</w:t>
            </w:r>
            <w:proofErr w:type="spellEnd"/>
            <w:r w:rsidRPr="00BF4EBA">
              <w:t xml:space="preserve">: SLES, RHEL; </w:t>
            </w:r>
          </w:p>
          <w:p w14:paraId="0A182E32" w14:textId="77777777" w:rsidR="00DF098E" w:rsidRPr="00BF4EBA" w:rsidRDefault="00DF098E" w:rsidP="00DF098E">
            <w:pPr>
              <w:pStyle w:val="ListParagraph"/>
              <w:numPr>
                <w:ilvl w:val="0"/>
                <w:numId w:val="29"/>
              </w:numPr>
              <w:spacing w:before="120"/>
              <w:ind w:left="714" w:hanging="357"/>
              <w:contextualSpacing w:val="0"/>
            </w:pPr>
            <w:proofErr w:type="spellStart"/>
            <w:r w:rsidRPr="00BF4EBA">
              <w:lastRenderedPageBreak/>
              <w:t>VMware</w:t>
            </w:r>
            <w:proofErr w:type="spellEnd"/>
            <w:r w:rsidRPr="00BF4EBA">
              <w:t xml:space="preserve"> </w:t>
            </w:r>
            <w:proofErr w:type="spellStart"/>
            <w:r w:rsidRPr="00BF4EBA">
              <w:t>vSphere</w:t>
            </w:r>
            <w:proofErr w:type="spellEnd"/>
            <w:r w:rsidRPr="00BF4EBA">
              <w:t>;</w:t>
            </w:r>
          </w:p>
          <w:p w14:paraId="5CB0ED1C" w14:textId="77777777" w:rsidR="00DF098E" w:rsidRPr="00BF4EBA" w:rsidRDefault="00DF098E" w:rsidP="00DF098E">
            <w:pPr>
              <w:pStyle w:val="ListParagraph"/>
              <w:numPr>
                <w:ilvl w:val="0"/>
                <w:numId w:val="29"/>
              </w:numPr>
              <w:spacing w:before="120"/>
              <w:ind w:left="714" w:hanging="357"/>
              <w:contextualSpacing w:val="0"/>
            </w:pPr>
            <w:proofErr w:type="spellStart"/>
            <w:r w:rsidRPr="00BF4EBA">
              <w:t>Citrix</w:t>
            </w:r>
            <w:proofErr w:type="spellEnd"/>
            <w:r w:rsidRPr="00BF4EBA">
              <w:t xml:space="preserve"> </w:t>
            </w:r>
            <w:proofErr w:type="spellStart"/>
            <w:r w:rsidRPr="00BF4EBA">
              <w:t>XenServer</w:t>
            </w:r>
            <w:proofErr w:type="spellEnd"/>
            <w:r w:rsidRPr="00BF4EBA">
              <w:t>;</w:t>
            </w:r>
          </w:p>
          <w:p w14:paraId="0A8526D0" w14:textId="77777777" w:rsidR="00DF098E" w:rsidRPr="00BF4EBA" w:rsidRDefault="00DF098E" w:rsidP="00DF098E">
            <w:pPr>
              <w:pStyle w:val="ListParagraph"/>
              <w:numPr>
                <w:ilvl w:val="0"/>
                <w:numId w:val="29"/>
              </w:numPr>
              <w:spacing w:before="120"/>
              <w:ind w:left="714" w:hanging="357"/>
              <w:contextualSpacing w:val="0"/>
            </w:pPr>
            <w:proofErr w:type="spellStart"/>
            <w:r w:rsidRPr="00BF4EBA">
              <w:t>Solaris</w:t>
            </w:r>
            <w:proofErr w:type="spellEnd"/>
            <w:r w:rsidRPr="00BF4EBA">
              <w:t>;</w:t>
            </w:r>
          </w:p>
        </w:tc>
      </w:tr>
      <w:tr w:rsidR="00DF098E" w:rsidRPr="00BF4EBA" w14:paraId="51DFEC01" w14:textId="77777777" w:rsidTr="00DF098E">
        <w:trPr>
          <w:trHeight w:val="315"/>
        </w:trPr>
        <w:tc>
          <w:tcPr>
            <w:tcW w:w="2410" w:type="dxa"/>
            <w:tcBorders>
              <w:top w:val="single" w:sz="4" w:space="0" w:color="auto"/>
              <w:left w:val="single" w:sz="4" w:space="0" w:color="auto"/>
              <w:bottom w:val="single" w:sz="4" w:space="0" w:color="auto"/>
              <w:right w:val="single" w:sz="4" w:space="0" w:color="auto"/>
            </w:tcBorders>
          </w:tcPr>
          <w:p w14:paraId="6788C09A" w14:textId="77777777" w:rsidR="00DF098E" w:rsidRPr="00BF4EBA" w:rsidRDefault="00DF098E" w:rsidP="00AA2B1D">
            <w:pPr>
              <w:pStyle w:val="ListParagraph"/>
              <w:spacing w:before="120"/>
              <w:ind w:left="0"/>
              <w:contextualSpacing w:val="0"/>
            </w:pPr>
            <w:r w:rsidRPr="00BF4EBA">
              <w:lastRenderedPageBreak/>
              <w:t>Поддръжка</w:t>
            </w:r>
          </w:p>
        </w:tc>
        <w:tc>
          <w:tcPr>
            <w:tcW w:w="7371" w:type="dxa"/>
            <w:tcBorders>
              <w:top w:val="single" w:sz="4" w:space="0" w:color="auto"/>
              <w:left w:val="single" w:sz="4" w:space="0" w:color="auto"/>
              <w:bottom w:val="single" w:sz="4" w:space="0" w:color="auto"/>
              <w:right w:val="single" w:sz="4" w:space="0" w:color="auto"/>
            </w:tcBorders>
            <w:noWrap/>
            <w:vAlign w:val="center"/>
          </w:tcPr>
          <w:p w14:paraId="0451D187" w14:textId="77777777" w:rsidR="00DF098E" w:rsidRPr="00BF4EBA" w:rsidRDefault="00DF098E" w:rsidP="00AA2B1D">
            <w:pPr>
              <w:pStyle w:val="ListParagraph"/>
              <w:spacing w:before="120"/>
              <w:ind w:left="0"/>
              <w:contextualSpacing w:val="0"/>
            </w:pPr>
            <w:r w:rsidRPr="00BF4EBA">
              <w:t xml:space="preserve">3 години 24 x </w:t>
            </w:r>
            <w:r w:rsidRPr="00B2674D">
              <w:t>7 с реакция следващ работен ден</w:t>
            </w:r>
          </w:p>
        </w:tc>
      </w:tr>
    </w:tbl>
    <w:p w14:paraId="166DB28A" w14:textId="77777777" w:rsidR="00DF098E" w:rsidRPr="00BF4EBA" w:rsidRDefault="00DF098E" w:rsidP="00DF098E">
      <w:pPr>
        <w:rPr>
          <w:i/>
        </w:rPr>
      </w:pPr>
    </w:p>
    <w:p w14:paraId="09671940" w14:textId="77777777" w:rsidR="00DF098E" w:rsidRPr="00BF4EBA" w:rsidRDefault="00DF098E" w:rsidP="00DF098E">
      <w:pPr>
        <w:rPr>
          <w:b/>
        </w:rPr>
      </w:pPr>
      <w:r w:rsidRPr="00BF4EBA">
        <w:rPr>
          <w:b/>
        </w:rPr>
        <w:t>4. Доставка и пускане в експлоатация на SAN комутатори – 2 бр.</w:t>
      </w:r>
    </w:p>
    <w:p w14:paraId="534059CE" w14:textId="77777777" w:rsidR="00DF098E" w:rsidRPr="00BF4EBA" w:rsidRDefault="00DF098E" w:rsidP="00DF098E"/>
    <w:tbl>
      <w:tblPr>
        <w:tblW w:w="9214" w:type="dxa"/>
        <w:tblInd w:w="108" w:type="dxa"/>
        <w:tblLook w:val="01E0" w:firstRow="1" w:lastRow="1" w:firstColumn="1" w:lastColumn="1" w:noHBand="0" w:noVBand="0"/>
      </w:tblPr>
      <w:tblGrid>
        <w:gridCol w:w="2552"/>
        <w:gridCol w:w="6662"/>
      </w:tblGrid>
      <w:tr w:rsidR="00DF098E" w:rsidRPr="006C267E" w14:paraId="5AF9AA37" w14:textId="77777777" w:rsidTr="00AA2B1D">
        <w:trPr>
          <w:trHeight w:val="70"/>
          <w:tblHeader/>
        </w:trPr>
        <w:tc>
          <w:tcPr>
            <w:tcW w:w="2552" w:type="dxa"/>
            <w:tcBorders>
              <w:top w:val="single" w:sz="4" w:space="0" w:color="auto"/>
              <w:left w:val="single" w:sz="4" w:space="0" w:color="auto"/>
              <w:bottom w:val="single" w:sz="4" w:space="0" w:color="auto"/>
              <w:right w:val="single" w:sz="4" w:space="0" w:color="auto"/>
            </w:tcBorders>
            <w:shd w:val="clear" w:color="auto" w:fill="4F81BD" w:themeFill="accent1"/>
          </w:tcPr>
          <w:p w14:paraId="66C21E75" w14:textId="77777777" w:rsidR="00DF098E" w:rsidRPr="006C267E" w:rsidRDefault="00DF098E" w:rsidP="00AA2B1D">
            <w:pPr>
              <w:rPr>
                <w:b/>
              </w:rPr>
            </w:pPr>
            <w:r w:rsidRPr="006C267E">
              <w:rPr>
                <w:b/>
              </w:rPr>
              <w:t>Параметър</w:t>
            </w:r>
          </w:p>
        </w:tc>
        <w:tc>
          <w:tcPr>
            <w:tcW w:w="6662" w:type="dxa"/>
            <w:tcBorders>
              <w:top w:val="single" w:sz="4" w:space="0" w:color="auto"/>
              <w:left w:val="single" w:sz="4" w:space="0" w:color="auto"/>
              <w:bottom w:val="single" w:sz="4" w:space="0" w:color="auto"/>
              <w:right w:val="single" w:sz="4" w:space="0" w:color="auto"/>
            </w:tcBorders>
            <w:shd w:val="clear" w:color="auto" w:fill="4F81BD" w:themeFill="accent1"/>
          </w:tcPr>
          <w:p w14:paraId="40175A8D" w14:textId="77777777" w:rsidR="00DF098E" w:rsidRPr="006C267E" w:rsidRDefault="00DF098E" w:rsidP="00AA2B1D">
            <w:pPr>
              <w:rPr>
                <w:b/>
              </w:rPr>
            </w:pPr>
            <w:r w:rsidRPr="006C267E">
              <w:rPr>
                <w:b/>
              </w:rPr>
              <w:t>Минимални технически изисквания за SAN комутатори:</w:t>
            </w:r>
          </w:p>
        </w:tc>
      </w:tr>
      <w:tr w:rsidR="00DF098E" w:rsidRPr="00BF4EBA" w14:paraId="131E3536" w14:textId="77777777" w:rsidTr="00AA2B1D">
        <w:trPr>
          <w:trHeight w:val="512"/>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3703D566" w14:textId="77777777" w:rsidR="00DF098E" w:rsidRPr="00BF4EBA" w:rsidRDefault="00DF098E" w:rsidP="00AA2B1D">
            <w:pPr>
              <w:rPr>
                <w:bCs/>
              </w:rPr>
            </w:pPr>
            <w:r w:rsidRPr="00BF4EBA">
              <w:rPr>
                <w:bCs/>
              </w:rPr>
              <w:t>Производител, модел, адрес на описанието му в сайта на производителя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291E8698" w14:textId="77777777" w:rsidR="00DF098E" w:rsidRPr="00B2674D" w:rsidRDefault="00DF098E" w:rsidP="00AA2B1D">
            <w:pPr>
              <w:rPr>
                <w:b/>
              </w:rPr>
            </w:pPr>
            <w:r w:rsidRPr="00B2674D">
              <w:rPr>
                <w:bCs/>
              </w:rPr>
              <w:t>Да се посочат</w:t>
            </w:r>
          </w:p>
        </w:tc>
      </w:tr>
      <w:tr w:rsidR="00DF098E" w:rsidRPr="00BF4EBA" w14:paraId="4F0D68F0" w14:textId="77777777" w:rsidTr="00AA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2552" w:type="dxa"/>
          </w:tcPr>
          <w:p w14:paraId="08EC10BE" w14:textId="77777777" w:rsidR="00DF098E" w:rsidRPr="00BF4EBA" w:rsidRDefault="00DF098E" w:rsidP="00AA2B1D">
            <w:pPr>
              <w:pStyle w:val="ListParagraph"/>
              <w:tabs>
                <w:tab w:val="left" w:pos="567"/>
              </w:tabs>
              <w:spacing w:before="120"/>
              <w:ind w:left="0"/>
              <w:contextualSpacing w:val="0"/>
            </w:pPr>
            <w:r w:rsidRPr="00BF4EBA">
              <w:t>Размер</w:t>
            </w:r>
          </w:p>
        </w:tc>
        <w:tc>
          <w:tcPr>
            <w:tcW w:w="6662" w:type="dxa"/>
          </w:tcPr>
          <w:p w14:paraId="634AFE5F" w14:textId="77777777" w:rsidR="00DF098E" w:rsidRPr="00B2674D" w:rsidRDefault="00DF098E" w:rsidP="00AA2B1D">
            <w:pPr>
              <w:pStyle w:val="ListParagraph"/>
              <w:tabs>
                <w:tab w:val="left" w:pos="567"/>
              </w:tabs>
              <w:spacing w:before="120"/>
              <w:ind w:left="0"/>
              <w:contextualSpacing w:val="0"/>
            </w:pPr>
            <w:r w:rsidRPr="00B2674D">
              <w:t xml:space="preserve">За вграждане в </w:t>
            </w:r>
            <w:proofErr w:type="spellStart"/>
            <w:r w:rsidRPr="00B2674D">
              <w:t>блейд</w:t>
            </w:r>
            <w:proofErr w:type="spellEnd"/>
            <w:r w:rsidRPr="00B2674D">
              <w:t xml:space="preserve"> </w:t>
            </w:r>
            <w:proofErr w:type="spellStart"/>
            <w:r w:rsidRPr="00B2674D">
              <w:t>шасито</w:t>
            </w:r>
            <w:proofErr w:type="spellEnd"/>
            <w:r w:rsidRPr="00B2674D">
              <w:t xml:space="preserve"> по Позиция 1</w:t>
            </w:r>
          </w:p>
        </w:tc>
      </w:tr>
      <w:tr w:rsidR="00DF098E" w:rsidRPr="00BF4EBA" w14:paraId="4ED201F2" w14:textId="77777777" w:rsidTr="00AA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2552" w:type="dxa"/>
          </w:tcPr>
          <w:p w14:paraId="507FA4A4" w14:textId="77777777" w:rsidR="00DF098E" w:rsidRPr="00351CF3" w:rsidRDefault="00DF098E" w:rsidP="00AA2B1D">
            <w:pPr>
              <w:pStyle w:val="ListParagraph"/>
              <w:tabs>
                <w:tab w:val="left" w:pos="567"/>
              </w:tabs>
              <w:spacing w:before="120"/>
              <w:ind w:left="0"/>
              <w:contextualSpacing w:val="0"/>
            </w:pPr>
            <w:r>
              <w:t>Функции</w:t>
            </w:r>
          </w:p>
        </w:tc>
        <w:tc>
          <w:tcPr>
            <w:tcW w:w="6662" w:type="dxa"/>
          </w:tcPr>
          <w:p w14:paraId="4BDBFF2B" w14:textId="77777777" w:rsidR="00DF098E" w:rsidRPr="00B2674D" w:rsidRDefault="00DF098E" w:rsidP="00AA2B1D">
            <w:pPr>
              <w:pStyle w:val="ListParagraph"/>
              <w:tabs>
                <w:tab w:val="left" w:pos="567"/>
              </w:tabs>
              <w:spacing w:before="120"/>
              <w:ind w:left="0"/>
              <w:contextualSpacing w:val="0"/>
              <w:rPr>
                <w:lang w:val="en-US"/>
              </w:rPr>
            </w:pPr>
            <w:r w:rsidRPr="00B2674D">
              <w:t xml:space="preserve">Да поддържа минимум 14 броя вътрешни порта </w:t>
            </w:r>
            <w:r w:rsidRPr="00B2674D">
              <w:rPr>
                <w:lang w:val="en-US"/>
              </w:rPr>
              <w:t>FC</w:t>
            </w:r>
            <w:r w:rsidRPr="00B2674D">
              <w:t xml:space="preserve"> 8</w:t>
            </w:r>
            <w:proofErr w:type="spellStart"/>
            <w:r w:rsidRPr="00B2674D">
              <w:rPr>
                <w:lang w:val="en-US"/>
              </w:rPr>
              <w:t>Gbps</w:t>
            </w:r>
            <w:proofErr w:type="spellEnd"/>
          </w:p>
          <w:p w14:paraId="51D8FB6C" w14:textId="77777777" w:rsidR="00DF098E" w:rsidRPr="00B2674D" w:rsidRDefault="00DF098E" w:rsidP="00AA2B1D">
            <w:pPr>
              <w:pStyle w:val="ListParagraph"/>
              <w:tabs>
                <w:tab w:val="left" w:pos="567"/>
              </w:tabs>
              <w:spacing w:before="120"/>
              <w:ind w:left="0"/>
              <w:contextualSpacing w:val="0"/>
            </w:pPr>
            <w:r w:rsidRPr="00B2674D">
              <w:t xml:space="preserve">Да поддържа минимум </w:t>
            </w:r>
            <w:r w:rsidRPr="00B2674D">
              <w:rPr>
                <w:lang w:val="en-US"/>
              </w:rPr>
              <w:t>2</w:t>
            </w:r>
            <w:r w:rsidRPr="00B2674D">
              <w:t xml:space="preserve"> броя вътрешни порта </w:t>
            </w:r>
            <w:r w:rsidRPr="00B2674D">
              <w:rPr>
                <w:lang w:val="en-US"/>
              </w:rPr>
              <w:t xml:space="preserve">1Gbps </w:t>
            </w:r>
            <w:r w:rsidRPr="00B2674D">
              <w:t>към модулите за управление</w:t>
            </w:r>
          </w:p>
          <w:p w14:paraId="0C32402B" w14:textId="77777777" w:rsidR="00DF098E" w:rsidRPr="00B2674D" w:rsidRDefault="00DF098E" w:rsidP="00AA2B1D">
            <w:pPr>
              <w:pStyle w:val="ListParagraph"/>
              <w:tabs>
                <w:tab w:val="left" w:pos="567"/>
              </w:tabs>
              <w:spacing w:before="120"/>
              <w:ind w:left="0"/>
              <w:contextualSpacing w:val="0"/>
            </w:pPr>
            <w:r w:rsidRPr="00B2674D">
              <w:t xml:space="preserve">Да поддържа минимум 6 броя външни порта </w:t>
            </w:r>
            <w:r w:rsidRPr="00B2674D">
              <w:rPr>
                <w:lang w:val="en-US"/>
              </w:rPr>
              <w:t>FC</w:t>
            </w:r>
            <w:r w:rsidRPr="00B2674D">
              <w:t xml:space="preserve"> 8</w:t>
            </w:r>
            <w:proofErr w:type="spellStart"/>
            <w:r w:rsidRPr="00B2674D">
              <w:rPr>
                <w:lang w:val="en-US"/>
              </w:rPr>
              <w:t>Gbps</w:t>
            </w:r>
            <w:proofErr w:type="spellEnd"/>
          </w:p>
          <w:p w14:paraId="7ED4749A" w14:textId="77777777" w:rsidR="00DF098E" w:rsidRPr="00B2674D" w:rsidRDefault="00DF098E" w:rsidP="00AA2B1D">
            <w:pPr>
              <w:pStyle w:val="ListParagraph"/>
              <w:tabs>
                <w:tab w:val="left" w:pos="567"/>
              </w:tabs>
              <w:spacing w:before="120"/>
              <w:ind w:left="0"/>
              <w:contextualSpacing w:val="0"/>
            </w:pPr>
            <w:r w:rsidRPr="00B2674D">
              <w:t>Да поддържа поне един външен порт за управление 100</w:t>
            </w:r>
            <w:r w:rsidRPr="00B2674D">
              <w:rPr>
                <w:lang w:val="en-US"/>
              </w:rPr>
              <w:t>Mbps</w:t>
            </w:r>
          </w:p>
          <w:p w14:paraId="378A46FC" w14:textId="77777777" w:rsidR="00DF098E" w:rsidRPr="00B2674D" w:rsidRDefault="00DF098E" w:rsidP="00AA2B1D">
            <w:pPr>
              <w:pStyle w:val="ListParagraph"/>
              <w:tabs>
                <w:tab w:val="left" w:pos="567"/>
              </w:tabs>
              <w:spacing w:before="120"/>
              <w:ind w:left="0"/>
              <w:contextualSpacing w:val="0"/>
            </w:pPr>
            <w:r w:rsidRPr="00B2674D">
              <w:t xml:space="preserve">Да поддържа поне един външен порт </w:t>
            </w:r>
            <w:r w:rsidRPr="00B2674D">
              <w:rPr>
                <w:lang w:val="en-US"/>
              </w:rPr>
              <w:t>RS</w:t>
            </w:r>
            <w:r w:rsidRPr="00B2674D">
              <w:t>-232</w:t>
            </w:r>
          </w:p>
        </w:tc>
      </w:tr>
      <w:tr w:rsidR="00DF098E" w:rsidRPr="00BF4EBA" w14:paraId="603652FC" w14:textId="77777777" w:rsidTr="00AA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2552" w:type="dxa"/>
          </w:tcPr>
          <w:p w14:paraId="69A176EE" w14:textId="77777777" w:rsidR="00DF098E" w:rsidRPr="00BF4EBA" w:rsidRDefault="00DF098E" w:rsidP="00AA2B1D">
            <w:pPr>
              <w:pStyle w:val="ListParagraph"/>
              <w:spacing w:before="120"/>
              <w:ind w:left="0"/>
              <w:contextualSpacing w:val="0"/>
            </w:pPr>
            <w:r w:rsidRPr="00BF4EBA">
              <w:t>Поддръжка</w:t>
            </w:r>
          </w:p>
        </w:tc>
        <w:tc>
          <w:tcPr>
            <w:tcW w:w="6662" w:type="dxa"/>
            <w:vAlign w:val="center"/>
          </w:tcPr>
          <w:p w14:paraId="725C7661" w14:textId="77777777" w:rsidR="00DF098E" w:rsidRPr="00B2674D" w:rsidRDefault="00DF098E" w:rsidP="00AA2B1D">
            <w:pPr>
              <w:pStyle w:val="ListParagraph"/>
              <w:spacing w:before="120"/>
              <w:ind w:left="0"/>
              <w:contextualSpacing w:val="0"/>
            </w:pPr>
            <w:r w:rsidRPr="00B2674D">
              <w:t>3 години 24 x 7 с реакция следващ работен ден</w:t>
            </w:r>
          </w:p>
        </w:tc>
      </w:tr>
    </w:tbl>
    <w:p w14:paraId="1F1A6F08" w14:textId="77777777" w:rsidR="00DF098E" w:rsidRPr="00BF4EBA" w:rsidRDefault="00DF098E" w:rsidP="00DF098E">
      <w:pPr>
        <w:ind w:firstLine="426"/>
      </w:pPr>
    </w:p>
    <w:p w14:paraId="54224572" w14:textId="77777777" w:rsidR="00DF098E" w:rsidRPr="00BF4EBA" w:rsidRDefault="00DF098E" w:rsidP="00DF098E">
      <w:pPr>
        <w:rPr>
          <w:b/>
        </w:rPr>
      </w:pPr>
      <w:r w:rsidRPr="00BF4EBA">
        <w:rPr>
          <w:b/>
        </w:rPr>
        <w:t>5. Доставка на шкаф за комуникационно и сървърно оборудване – 1 бр.</w:t>
      </w:r>
    </w:p>
    <w:p w14:paraId="41CF0174" w14:textId="77777777" w:rsidR="00DF098E" w:rsidRPr="00BF4EBA" w:rsidRDefault="00DF098E" w:rsidP="00DF098E">
      <w:pPr>
        <w:ind w:firstLine="426"/>
      </w:pPr>
    </w:p>
    <w:tbl>
      <w:tblPr>
        <w:tblW w:w="9214" w:type="dxa"/>
        <w:tblInd w:w="108" w:type="dxa"/>
        <w:tblLook w:val="01E0" w:firstRow="1" w:lastRow="1" w:firstColumn="1" w:lastColumn="1" w:noHBand="0" w:noVBand="0"/>
      </w:tblPr>
      <w:tblGrid>
        <w:gridCol w:w="2552"/>
        <w:gridCol w:w="6662"/>
      </w:tblGrid>
      <w:tr w:rsidR="00DF098E" w:rsidRPr="006C267E" w14:paraId="4DC3081D" w14:textId="77777777" w:rsidTr="00AA2B1D">
        <w:trPr>
          <w:trHeight w:val="512"/>
        </w:trPr>
        <w:tc>
          <w:tcPr>
            <w:tcW w:w="2552" w:type="dxa"/>
            <w:tcBorders>
              <w:top w:val="single" w:sz="4" w:space="0" w:color="auto"/>
              <w:left w:val="single" w:sz="4" w:space="0" w:color="auto"/>
              <w:bottom w:val="single" w:sz="4" w:space="0" w:color="auto"/>
              <w:right w:val="single" w:sz="4" w:space="0" w:color="auto"/>
            </w:tcBorders>
            <w:shd w:val="clear" w:color="auto" w:fill="4F81BD" w:themeFill="accent1"/>
          </w:tcPr>
          <w:p w14:paraId="3D778D37" w14:textId="77777777" w:rsidR="00DF098E" w:rsidRPr="006C267E" w:rsidRDefault="00DF098E" w:rsidP="00AA2B1D">
            <w:pPr>
              <w:rPr>
                <w:b/>
              </w:rPr>
            </w:pPr>
            <w:r w:rsidRPr="006C267E">
              <w:rPr>
                <w:b/>
              </w:rPr>
              <w:t>Параметър</w:t>
            </w:r>
          </w:p>
        </w:tc>
        <w:tc>
          <w:tcPr>
            <w:tcW w:w="6662" w:type="dxa"/>
            <w:tcBorders>
              <w:top w:val="single" w:sz="4" w:space="0" w:color="auto"/>
              <w:left w:val="single" w:sz="4" w:space="0" w:color="auto"/>
              <w:bottom w:val="single" w:sz="4" w:space="0" w:color="auto"/>
              <w:right w:val="single" w:sz="4" w:space="0" w:color="auto"/>
            </w:tcBorders>
            <w:shd w:val="clear" w:color="auto" w:fill="4F81BD" w:themeFill="accent1"/>
          </w:tcPr>
          <w:p w14:paraId="2E715B29" w14:textId="77777777" w:rsidR="00DF098E" w:rsidRPr="006C267E" w:rsidRDefault="00DF098E" w:rsidP="00AA2B1D">
            <w:pPr>
              <w:rPr>
                <w:b/>
              </w:rPr>
            </w:pPr>
            <w:r w:rsidRPr="006C267E">
              <w:rPr>
                <w:b/>
              </w:rPr>
              <w:t>Минимални технически изисквания за шкаф:</w:t>
            </w:r>
          </w:p>
        </w:tc>
      </w:tr>
      <w:tr w:rsidR="00DF098E" w:rsidRPr="00BF4EBA" w14:paraId="684FE110" w14:textId="77777777" w:rsidTr="00AA2B1D">
        <w:trPr>
          <w:trHeight w:val="512"/>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4E1B20AB" w14:textId="77777777" w:rsidR="00DF098E" w:rsidRPr="00BF4EBA" w:rsidRDefault="00DF098E" w:rsidP="00AA2B1D">
            <w:pPr>
              <w:rPr>
                <w:bCs/>
              </w:rPr>
            </w:pPr>
            <w:r w:rsidRPr="00BF4EBA">
              <w:rPr>
                <w:bCs/>
              </w:rPr>
              <w:t>Производител, модел, адрес на описанието му в сайта на производителя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01C11BB0" w14:textId="77777777" w:rsidR="00DF098E" w:rsidRPr="00BF4EBA" w:rsidRDefault="00DF098E" w:rsidP="00AA2B1D">
            <w:pPr>
              <w:rPr>
                <w:b/>
              </w:rPr>
            </w:pPr>
            <w:r w:rsidRPr="00BF4EBA">
              <w:rPr>
                <w:bCs/>
              </w:rPr>
              <w:t>Да се посочат</w:t>
            </w:r>
          </w:p>
        </w:tc>
      </w:tr>
      <w:tr w:rsidR="00DF098E" w:rsidRPr="00BF4EBA" w14:paraId="26124C52" w14:textId="77777777" w:rsidTr="00AA2B1D">
        <w:trPr>
          <w:trHeight w:val="70"/>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5B7A1082" w14:textId="77777777" w:rsidR="00DF098E" w:rsidRPr="00BF4EBA" w:rsidRDefault="00DF098E" w:rsidP="00AA2B1D">
            <w:pPr>
              <w:rPr>
                <w:bCs/>
              </w:rPr>
            </w:pPr>
            <w:r w:rsidRPr="00BF4EBA">
              <w:rPr>
                <w:bCs/>
              </w:rPr>
              <w:t>Размер</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74D83912" w14:textId="77777777" w:rsidR="00DF098E" w:rsidRPr="00BF4EBA" w:rsidRDefault="00DF098E" w:rsidP="00AA2B1D">
            <w:pPr>
              <w:rPr>
                <w:bCs/>
              </w:rPr>
            </w:pPr>
            <w:r>
              <w:rPr>
                <w:bCs/>
              </w:rPr>
              <w:t>Височина мин. 40</w:t>
            </w:r>
            <w:r w:rsidRPr="00BF4EBA">
              <w:rPr>
                <w:bCs/>
              </w:rPr>
              <w:t>U, ширина 600mm, дълбочина 1000mm</w:t>
            </w:r>
          </w:p>
        </w:tc>
      </w:tr>
      <w:tr w:rsidR="00DF098E" w:rsidRPr="00BF4EBA" w14:paraId="165B71FE" w14:textId="77777777" w:rsidTr="00AA2B1D">
        <w:trPr>
          <w:trHeight w:val="70"/>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2706A51B" w14:textId="77777777" w:rsidR="00DF098E" w:rsidRPr="00BF4EBA" w:rsidRDefault="00DF098E" w:rsidP="00AA2B1D">
            <w:pPr>
              <w:rPr>
                <w:bCs/>
              </w:rPr>
            </w:pPr>
            <w:r w:rsidRPr="00BF4EBA">
              <w:rPr>
                <w:bCs/>
              </w:rPr>
              <w:t>Аксесоари</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44F8C2F1" w14:textId="77777777" w:rsidR="00DF098E" w:rsidRPr="00BF4EBA" w:rsidRDefault="00DF098E" w:rsidP="00AA2B1D">
            <w:pPr>
              <w:rPr>
                <w:bCs/>
              </w:rPr>
            </w:pPr>
            <w:r>
              <w:rPr>
                <w:bCs/>
              </w:rPr>
              <w:t>Страници. П</w:t>
            </w:r>
            <w:r w:rsidRPr="00BF4EBA">
              <w:rPr>
                <w:bCs/>
              </w:rPr>
              <w:t>редна и задна врати</w:t>
            </w:r>
            <w:r>
              <w:rPr>
                <w:bCs/>
              </w:rPr>
              <w:t xml:space="preserve"> да са перфорирани</w:t>
            </w:r>
          </w:p>
        </w:tc>
      </w:tr>
      <w:tr w:rsidR="00DF098E" w:rsidRPr="00BF4EBA" w14:paraId="765B142C" w14:textId="77777777" w:rsidTr="00AA2B1D">
        <w:trPr>
          <w:trHeight w:val="70"/>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4D30D9F7" w14:textId="77777777" w:rsidR="00DF098E" w:rsidRPr="00BF4EBA" w:rsidRDefault="00DF098E" w:rsidP="00AA2B1D">
            <w:pPr>
              <w:rPr>
                <w:bCs/>
              </w:rPr>
            </w:pPr>
            <w:r w:rsidRPr="00BF4EBA">
              <w:rPr>
                <w:bCs/>
              </w:rPr>
              <w:t>Гаранция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6626B783" w14:textId="77777777" w:rsidR="00DF098E" w:rsidRPr="00BF4EBA" w:rsidRDefault="00DF098E" w:rsidP="00AA2B1D">
            <w:pPr>
              <w:rPr>
                <w:bCs/>
              </w:rPr>
            </w:pPr>
            <w:r w:rsidRPr="00BF4EBA">
              <w:t>3 години 24 x 7</w:t>
            </w:r>
            <w:r w:rsidRPr="00E63543">
              <w:t xml:space="preserve"> </w:t>
            </w:r>
            <w:r>
              <w:t>с реакция</w:t>
            </w:r>
            <w:r w:rsidRPr="00E63543">
              <w:t xml:space="preserve"> </w:t>
            </w:r>
            <w:r>
              <w:t>следващ работен ден</w:t>
            </w:r>
          </w:p>
        </w:tc>
      </w:tr>
    </w:tbl>
    <w:p w14:paraId="1F21D84B" w14:textId="77777777" w:rsidR="00DF098E" w:rsidRPr="00BF4EBA" w:rsidRDefault="00DF098E" w:rsidP="00DF098E">
      <w:pPr>
        <w:ind w:firstLine="426"/>
      </w:pPr>
    </w:p>
    <w:p w14:paraId="643227E2" w14:textId="77777777" w:rsidR="00DF098E" w:rsidRDefault="00DF098E" w:rsidP="00B2674D">
      <w:pPr>
        <w:pStyle w:val="Heading2"/>
        <w:jc w:val="center"/>
      </w:pPr>
      <w:r w:rsidRPr="00B2674D">
        <w:t>Доставка и инсталиране на софтуер за виртуализация и управление на хардуерната платформа</w:t>
      </w:r>
    </w:p>
    <w:p w14:paraId="0186EEE5" w14:textId="77777777" w:rsidR="00B2674D" w:rsidRPr="00B2674D" w:rsidRDefault="00B2674D" w:rsidP="00B2674D"/>
    <w:tbl>
      <w:tblPr>
        <w:tblW w:w="9356" w:type="dxa"/>
        <w:tblInd w:w="-176" w:type="dxa"/>
        <w:tblLook w:val="01E0" w:firstRow="1" w:lastRow="1" w:firstColumn="1" w:lastColumn="1" w:noHBand="0" w:noVBand="0"/>
      </w:tblPr>
      <w:tblGrid>
        <w:gridCol w:w="2836"/>
        <w:gridCol w:w="6520"/>
      </w:tblGrid>
      <w:tr w:rsidR="00DF098E" w:rsidRPr="00BF4EBA" w14:paraId="2627C3E2" w14:textId="77777777" w:rsidTr="00DF098E">
        <w:trPr>
          <w:trHeight w:val="512"/>
        </w:trPr>
        <w:tc>
          <w:tcPr>
            <w:tcW w:w="2836" w:type="dxa"/>
            <w:tcBorders>
              <w:top w:val="single" w:sz="4" w:space="0" w:color="auto"/>
              <w:left w:val="single" w:sz="4" w:space="0" w:color="auto"/>
              <w:bottom w:val="single" w:sz="4" w:space="0" w:color="auto"/>
              <w:right w:val="single" w:sz="4" w:space="0" w:color="auto"/>
            </w:tcBorders>
            <w:shd w:val="clear" w:color="auto" w:fill="4F81BD" w:themeFill="accent1"/>
          </w:tcPr>
          <w:p w14:paraId="7330F2E6" w14:textId="77777777" w:rsidR="00DF098E" w:rsidRPr="00BF4EBA" w:rsidRDefault="00DF098E" w:rsidP="00AA2B1D">
            <w:r w:rsidRPr="00BF4EBA">
              <w:t>Параметър</w:t>
            </w:r>
          </w:p>
        </w:tc>
        <w:tc>
          <w:tcPr>
            <w:tcW w:w="6520" w:type="dxa"/>
            <w:tcBorders>
              <w:top w:val="single" w:sz="4" w:space="0" w:color="auto"/>
              <w:left w:val="single" w:sz="4" w:space="0" w:color="auto"/>
              <w:bottom w:val="single" w:sz="4" w:space="0" w:color="auto"/>
              <w:right w:val="single" w:sz="4" w:space="0" w:color="auto"/>
            </w:tcBorders>
            <w:shd w:val="clear" w:color="auto" w:fill="4F81BD" w:themeFill="accent1"/>
          </w:tcPr>
          <w:p w14:paraId="37E34DAD" w14:textId="77777777" w:rsidR="00DF098E" w:rsidRPr="00BF4EBA" w:rsidRDefault="00DF098E" w:rsidP="00AA2B1D">
            <w:pPr>
              <w:rPr>
                <w:b/>
              </w:rPr>
            </w:pPr>
            <w:r w:rsidRPr="00BF4EBA">
              <w:t>Минимални технически изисквания за шкаф:</w:t>
            </w:r>
          </w:p>
        </w:tc>
      </w:tr>
      <w:tr w:rsidR="00DF098E" w:rsidRPr="00BF4EBA" w14:paraId="19770565" w14:textId="77777777" w:rsidTr="00DF098E">
        <w:trPr>
          <w:trHeight w:val="512"/>
        </w:trPr>
        <w:tc>
          <w:tcPr>
            <w:tcW w:w="2836" w:type="dxa"/>
            <w:tcBorders>
              <w:top w:val="single" w:sz="4" w:space="0" w:color="auto"/>
              <w:left w:val="single" w:sz="4" w:space="0" w:color="auto"/>
              <w:bottom w:val="single" w:sz="4" w:space="0" w:color="auto"/>
              <w:right w:val="single" w:sz="4" w:space="0" w:color="auto"/>
            </w:tcBorders>
            <w:shd w:val="clear" w:color="auto" w:fill="FFFFFF"/>
          </w:tcPr>
          <w:p w14:paraId="5E928D5E" w14:textId="77777777" w:rsidR="00DF098E" w:rsidRPr="00BF4EBA" w:rsidRDefault="00DF098E" w:rsidP="00AA2B1D">
            <w:pPr>
              <w:rPr>
                <w:bCs/>
              </w:rPr>
            </w:pPr>
            <w:r w:rsidRPr="00BF4EBA">
              <w:rPr>
                <w:bCs/>
              </w:rPr>
              <w:t>Производител, модел, адрес на описанието му в сайта на производителя</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374627F0" w14:textId="77777777" w:rsidR="00DF098E" w:rsidRPr="00BF4EBA" w:rsidRDefault="00DF098E" w:rsidP="00AA2B1D">
            <w:pPr>
              <w:rPr>
                <w:b/>
              </w:rPr>
            </w:pPr>
            <w:r w:rsidRPr="00BF4EBA">
              <w:rPr>
                <w:bCs/>
              </w:rPr>
              <w:t>Да се посочат</w:t>
            </w:r>
          </w:p>
        </w:tc>
      </w:tr>
      <w:tr w:rsidR="00DF098E" w:rsidRPr="00BF4EBA" w14:paraId="746DC914" w14:textId="77777777" w:rsidTr="00DF098E">
        <w:trPr>
          <w:trHeight w:val="70"/>
        </w:trPr>
        <w:tc>
          <w:tcPr>
            <w:tcW w:w="2836" w:type="dxa"/>
            <w:tcBorders>
              <w:top w:val="single" w:sz="4" w:space="0" w:color="auto"/>
              <w:left w:val="single" w:sz="4" w:space="0" w:color="auto"/>
              <w:bottom w:val="single" w:sz="4" w:space="0" w:color="auto"/>
              <w:right w:val="single" w:sz="4" w:space="0" w:color="auto"/>
            </w:tcBorders>
            <w:shd w:val="clear" w:color="auto" w:fill="FFFFFF"/>
          </w:tcPr>
          <w:p w14:paraId="0616BA0E" w14:textId="77777777" w:rsidR="00DF098E" w:rsidRPr="00351CF3" w:rsidRDefault="00DF098E" w:rsidP="00AA2B1D">
            <w:pPr>
              <w:rPr>
                <w:bCs/>
              </w:rPr>
            </w:pPr>
            <w:r>
              <w:rPr>
                <w:bCs/>
              </w:rPr>
              <w:t>Лиценз</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30EC4DB4" w14:textId="77777777" w:rsidR="00DF098E" w:rsidRPr="00BF4EBA" w:rsidRDefault="00DF098E" w:rsidP="00AA2B1D">
            <w:pPr>
              <w:rPr>
                <w:bCs/>
              </w:rPr>
            </w:pPr>
            <w:r>
              <w:rPr>
                <w:bCs/>
              </w:rPr>
              <w:t xml:space="preserve">Лиценз за софтуер за централизирано управление на </w:t>
            </w:r>
            <w:proofErr w:type="spellStart"/>
            <w:r>
              <w:rPr>
                <w:bCs/>
              </w:rPr>
              <w:lastRenderedPageBreak/>
              <w:t>виртуализационна</w:t>
            </w:r>
            <w:proofErr w:type="spellEnd"/>
            <w:r>
              <w:rPr>
                <w:bCs/>
              </w:rPr>
              <w:t xml:space="preserve"> платформа управляващ едновременно минимум 6 сървъра с по</w:t>
            </w:r>
            <w:r>
              <w:rPr>
                <w:bCs/>
                <w:lang w:val="en-US"/>
              </w:rPr>
              <w:t xml:space="preserve"> 2</w:t>
            </w:r>
            <w:r>
              <w:rPr>
                <w:bCs/>
              </w:rPr>
              <w:t xml:space="preserve"> процесора всеки и лиценз за виртуализация за 12 процесора.  </w:t>
            </w:r>
          </w:p>
        </w:tc>
      </w:tr>
      <w:tr w:rsidR="00DF098E" w:rsidRPr="00BF4EBA" w14:paraId="76A4B129" w14:textId="77777777" w:rsidTr="00DF098E">
        <w:trPr>
          <w:trHeight w:val="70"/>
        </w:trPr>
        <w:tc>
          <w:tcPr>
            <w:tcW w:w="2836" w:type="dxa"/>
            <w:tcBorders>
              <w:top w:val="single" w:sz="4" w:space="0" w:color="auto"/>
              <w:left w:val="single" w:sz="4" w:space="0" w:color="auto"/>
              <w:bottom w:val="single" w:sz="4" w:space="0" w:color="auto"/>
              <w:right w:val="single" w:sz="4" w:space="0" w:color="auto"/>
            </w:tcBorders>
            <w:shd w:val="clear" w:color="auto" w:fill="FFFFFF"/>
          </w:tcPr>
          <w:p w14:paraId="32C80A8A" w14:textId="77777777" w:rsidR="00DF098E" w:rsidRDefault="00DF098E" w:rsidP="00AA2B1D">
            <w:pPr>
              <w:rPr>
                <w:bCs/>
              </w:rPr>
            </w:pPr>
            <w:r>
              <w:rPr>
                <w:bCs/>
              </w:rPr>
              <w:lastRenderedPageBreak/>
              <w:t>Функции</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3F4916CA" w14:textId="77777777" w:rsidR="00DF098E" w:rsidRDefault="00DF098E" w:rsidP="00AA2B1D">
            <w:pPr>
              <w:rPr>
                <w:bCs/>
              </w:rPr>
            </w:pPr>
            <w:proofErr w:type="spellStart"/>
            <w:r>
              <w:rPr>
                <w:bCs/>
              </w:rPr>
              <w:t>Виртуализационият</w:t>
            </w:r>
            <w:proofErr w:type="spellEnd"/>
            <w:r>
              <w:rPr>
                <w:bCs/>
              </w:rPr>
              <w:t xml:space="preserve"> софтуер да поддържа като минимум следните функции:</w:t>
            </w:r>
          </w:p>
          <w:p w14:paraId="71FC283C" w14:textId="77777777" w:rsidR="00DF098E" w:rsidRDefault="00DF098E" w:rsidP="00DF098E">
            <w:pPr>
              <w:pStyle w:val="ListParagraph"/>
              <w:numPr>
                <w:ilvl w:val="0"/>
                <w:numId w:val="37"/>
              </w:numPr>
              <w:rPr>
                <w:bCs/>
              </w:rPr>
            </w:pPr>
            <w:r w:rsidRPr="00AC4161">
              <w:rPr>
                <w:bCs/>
              </w:rPr>
              <w:t>Движение в реално време и без спиране на виртуални машини между различните хостове</w:t>
            </w:r>
          </w:p>
          <w:p w14:paraId="71A0725E" w14:textId="77777777" w:rsidR="00DF098E" w:rsidRDefault="00DF098E" w:rsidP="00DF098E">
            <w:pPr>
              <w:pStyle w:val="ListParagraph"/>
              <w:numPr>
                <w:ilvl w:val="0"/>
                <w:numId w:val="37"/>
              </w:numPr>
              <w:rPr>
                <w:bCs/>
              </w:rPr>
            </w:pPr>
            <w:r w:rsidRPr="00AC4161">
              <w:rPr>
                <w:bCs/>
              </w:rPr>
              <w:t>Движение в реално време и без спиране на виртуални машини между различни</w:t>
            </w:r>
            <w:r>
              <w:rPr>
                <w:bCs/>
              </w:rPr>
              <w:t xml:space="preserve"> дискови масиви</w:t>
            </w:r>
          </w:p>
          <w:p w14:paraId="335061A2" w14:textId="77777777" w:rsidR="00DF098E" w:rsidRDefault="00DF098E" w:rsidP="00DF098E">
            <w:pPr>
              <w:pStyle w:val="ListParagraph"/>
              <w:numPr>
                <w:ilvl w:val="0"/>
                <w:numId w:val="37"/>
              </w:numPr>
              <w:rPr>
                <w:bCs/>
              </w:rPr>
            </w:pPr>
            <w:r>
              <w:rPr>
                <w:bCs/>
                <w:lang w:val="en-US"/>
              </w:rPr>
              <w:t>High</w:t>
            </w:r>
            <w:r w:rsidRPr="00AC4161">
              <w:rPr>
                <w:bCs/>
              </w:rPr>
              <w:t xml:space="preserve"> </w:t>
            </w:r>
            <w:r>
              <w:rPr>
                <w:bCs/>
                <w:lang w:val="en-US"/>
              </w:rPr>
              <w:t>Availability</w:t>
            </w:r>
            <w:r w:rsidRPr="00AC4161">
              <w:rPr>
                <w:bCs/>
              </w:rPr>
              <w:t xml:space="preserve"> – </w:t>
            </w:r>
            <w:r>
              <w:rPr>
                <w:bCs/>
              </w:rPr>
              <w:t xml:space="preserve">автоматично стартиране на здрав хост при повреда, без намеса на администратор </w:t>
            </w:r>
          </w:p>
          <w:p w14:paraId="2DBE4378" w14:textId="77777777" w:rsidR="00DF098E" w:rsidRDefault="00DF098E" w:rsidP="00DF098E">
            <w:pPr>
              <w:pStyle w:val="ListParagraph"/>
              <w:numPr>
                <w:ilvl w:val="0"/>
                <w:numId w:val="37"/>
              </w:numPr>
              <w:rPr>
                <w:bCs/>
              </w:rPr>
            </w:pPr>
            <w:r>
              <w:rPr>
                <w:bCs/>
              </w:rPr>
              <w:t>Репликация</w:t>
            </w:r>
          </w:p>
          <w:p w14:paraId="772F0E3C" w14:textId="77777777" w:rsidR="00DF098E" w:rsidRDefault="00DF098E" w:rsidP="00DF098E">
            <w:pPr>
              <w:pStyle w:val="ListParagraph"/>
              <w:numPr>
                <w:ilvl w:val="0"/>
                <w:numId w:val="37"/>
              </w:numPr>
              <w:rPr>
                <w:bCs/>
              </w:rPr>
            </w:pPr>
            <w:r>
              <w:rPr>
                <w:bCs/>
              </w:rPr>
              <w:t xml:space="preserve">В реално време </w:t>
            </w:r>
            <w:r>
              <w:rPr>
                <w:bCs/>
                <w:lang w:val="en-US"/>
              </w:rPr>
              <w:t>fault tolerance</w:t>
            </w:r>
          </w:p>
          <w:p w14:paraId="6342041D" w14:textId="77777777" w:rsidR="00DF098E" w:rsidRPr="00AC4161" w:rsidRDefault="00DF098E" w:rsidP="00DF098E">
            <w:pPr>
              <w:pStyle w:val="ListParagraph"/>
              <w:numPr>
                <w:ilvl w:val="0"/>
                <w:numId w:val="37"/>
              </w:numPr>
              <w:rPr>
                <w:bCs/>
              </w:rPr>
            </w:pPr>
            <w:r>
              <w:rPr>
                <w:bCs/>
              </w:rPr>
              <w:t>Защита на данните</w:t>
            </w:r>
          </w:p>
        </w:tc>
      </w:tr>
      <w:tr w:rsidR="00DF098E" w:rsidRPr="00BF4EBA" w14:paraId="456C98AC" w14:textId="77777777" w:rsidTr="00DF098E">
        <w:trPr>
          <w:trHeight w:val="70"/>
        </w:trPr>
        <w:tc>
          <w:tcPr>
            <w:tcW w:w="2836" w:type="dxa"/>
            <w:tcBorders>
              <w:top w:val="single" w:sz="4" w:space="0" w:color="auto"/>
              <w:left w:val="single" w:sz="4" w:space="0" w:color="auto"/>
              <w:bottom w:val="single" w:sz="4" w:space="0" w:color="auto"/>
              <w:right w:val="single" w:sz="4" w:space="0" w:color="auto"/>
            </w:tcBorders>
            <w:shd w:val="clear" w:color="auto" w:fill="FFFFFF"/>
          </w:tcPr>
          <w:p w14:paraId="272D6FED" w14:textId="77777777" w:rsidR="00DF098E" w:rsidRPr="00BF4EBA" w:rsidRDefault="00DF098E" w:rsidP="00AA2B1D">
            <w:pPr>
              <w:rPr>
                <w:bCs/>
              </w:rPr>
            </w:pPr>
            <w:r>
              <w:rPr>
                <w:bCs/>
              </w:rPr>
              <w:t>Обновление</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152B9E82" w14:textId="77777777" w:rsidR="00DF098E" w:rsidRPr="00BF4EBA" w:rsidRDefault="00DF098E" w:rsidP="00AA2B1D">
            <w:pPr>
              <w:rPr>
                <w:bCs/>
              </w:rPr>
            </w:pPr>
            <w:r>
              <w:rPr>
                <w:bCs/>
              </w:rPr>
              <w:t>Вечен лиценз с включен, минимум 1 година право на безплатно обновление до по-нови версии.</w:t>
            </w:r>
          </w:p>
        </w:tc>
      </w:tr>
    </w:tbl>
    <w:p w14:paraId="7229E835" w14:textId="77777777" w:rsidR="00DF098E" w:rsidRPr="00351CF3" w:rsidRDefault="00DF098E" w:rsidP="00DF098E"/>
    <w:p w14:paraId="70A64149" w14:textId="77777777" w:rsidR="00BF4EBA" w:rsidRPr="00BF4EBA" w:rsidRDefault="00BF4EBA" w:rsidP="00BF4EBA"/>
    <w:sectPr w:rsidR="00BF4EBA" w:rsidRPr="00BF4EBA" w:rsidSect="005B703F">
      <w:headerReference w:type="default" r:id="rId11"/>
      <w:footerReference w:type="default" r:id="rId12"/>
      <w:headerReference w:type="first" r:id="rId13"/>
      <w:footerReference w:type="first" r:id="rId14"/>
      <w:pgSz w:w="11900" w:h="16840"/>
      <w:pgMar w:top="1417" w:right="1417" w:bottom="1417" w:left="1417" w:header="284" w:footer="3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17707" w14:textId="77777777" w:rsidR="007E2D2A" w:rsidRDefault="007E2D2A" w:rsidP="004E54B6">
      <w:r>
        <w:separator/>
      </w:r>
    </w:p>
  </w:endnote>
  <w:endnote w:type="continuationSeparator" w:id="0">
    <w:p w14:paraId="1128B74B" w14:textId="77777777" w:rsidR="007E2D2A" w:rsidRDefault="007E2D2A" w:rsidP="004E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161114"/>
      <w:docPartObj>
        <w:docPartGallery w:val="Page Numbers (Bottom of Page)"/>
        <w:docPartUnique/>
      </w:docPartObj>
    </w:sdtPr>
    <w:sdtEndPr/>
    <w:sdtContent>
      <w:p w14:paraId="4DFD883F" w14:textId="2652F19A" w:rsidR="00AA2B1D" w:rsidRDefault="00AA2B1D">
        <w:pPr>
          <w:pStyle w:val="Footer"/>
          <w:jc w:val="right"/>
        </w:pPr>
        <w:r>
          <w:fldChar w:fldCharType="begin"/>
        </w:r>
        <w:r>
          <w:instrText>PAGE   \* MERGEFORMAT</w:instrText>
        </w:r>
        <w:r>
          <w:fldChar w:fldCharType="separate"/>
        </w:r>
        <w:r w:rsidR="005B703F" w:rsidRPr="005B703F">
          <w:rPr>
            <w:noProof/>
            <w:lang w:val="bg-BG"/>
          </w:rPr>
          <w:t>2</w:t>
        </w:r>
        <w:r>
          <w:fldChar w:fldCharType="end"/>
        </w:r>
      </w:p>
    </w:sdtContent>
  </w:sdt>
  <w:p w14:paraId="1DF9D922" w14:textId="77777777" w:rsidR="005B703F" w:rsidRPr="006B29AC" w:rsidRDefault="005B703F" w:rsidP="005B703F">
    <w:pPr>
      <w:pBdr>
        <w:top w:val="single" w:sz="4" w:space="1" w:color="auto"/>
      </w:pBdr>
      <w:tabs>
        <w:tab w:val="center" w:pos="4536"/>
        <w:tab w:val="right" w:pos="9072"/>
      </w:tabs>
      <w:jc w:val="center"/>
    </w:pPr>
    <w:r w:rsidRPr="006B29AC">
      <w:rPr>
        <w:rFonts w:eastAsia="MS Mincho"/>
        <w:b/>
        <w:bCs/>
        <w:sz w:val="20"/>
        <w:szCs w:val="20"/>
        <w:lang w:eastAsia="en-US"/>
      </w:rPr>
      <w:t>Проектът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r>
      <w:rPr>
        <w:rFonts w:eastAsia="MS Mincho"/>
        <w:noProof/>
        <w:sz w:val="20"/>
        <w:szCs w:val="20"/>
      </w:rPr>
      <mc:AlternateContent>
        <mc:Choice Requires="wps">
          <w:drawing>
            <wp:anchor distT="0" distB="0" distL="0" distR="0" simplePos="0" relativeHeight="251659264" behindDoc="0" locked="0" layoutInCell="1" allowOverlap="1" wp14:anchorId="150BA4E0" wp14:editId="7AC0EFB3">
              <wp:simplePos x="0" y="0"/>
              <wp:positionH relativeFrom="page">
                <wp:posOffset>6645275</wp:posOffset>
              </wp:positionH>
              <wp:positionV relativeFrom="paragraph">
                <wp:posOffset>635</wp:posOffset>
              </wp:positionV>
              <wp:extent cx="13970" cy="16827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D7441" w14:textId="77777777" w:rsidR="005B703F" w:rsidRDefault="005B703F" w:rsidP="005B703F">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3.25pt;margin-top:.05pt;width:1.1pt;height:1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" stroked="f">
              <v:fill opacity="0"/>
              <v:textbox inset="0,0,0,0">
                <w:txbxContent>
                  <w:p w14:paraId="2ACD7441" w14:textId="77777777" w:rsidR="005B703F" w:rsidRDefault="005B703F" w:rsidP="005B703F">
                    <w:pPr>
                      <w:pStyle w:val="Footer"/>
                    </w:pPr>
                  </w:p>
                </w:txbxContent>
              </v:textbox>
              <w10:wrap type="square" side="largest" anchorx="page"/>
            </v:shape>
          </w:pict>
        </mc:Fallback>
      </mc:AlternateContent>
    </w:r>
  </w:p>
  <w:p w14:paraId="4F93B833" w14:textId="3BEB53E0" w:rsidR="00AA2B1D" w:rsidRPr="004353E6" w:rsidRDefault="00AA2B1D" w:rsidP="00A31690">
    <w:pPr>
      <w:pStyle w:val="Footer"/>
      <w:jc w:val="center"/>
      <w:rPr>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6BCD5" w14:textId="7A027FED" w:rsidR="005B703F" w:rsidRPr="005B703F" w:rsidRDefault="005B703F" w:rsidP="005B703F">
    <w:pPr>
      <w:pStyle w:val="Footer"/>
      <w:jc w:val="center"/>
      <w:rPr>
        <w:lang w:val="en-US"/>
      </w:rPr>
    </w:pPr>
    <w:r w:rsidRPr="009E5E42">
      <w:rPr>
        <w:i/>
        <w:sz w:val="20"/>
        <w:szCs w:val="20"/>
        <w:lang w:val="bg-BG"/>
      </w:rPr>
      <w:t>Този документ е създаден в рамките на проект „Изграждане на капацитет на ИПА за изследвания, обучение и приложение на иновативни европейски практики в доброто управление”, в изпълнение на Договор № C13-22-1/16.04.2014, финансиран от Оперативна програма „Административен капацитет”, съфинансирана от Европейския съюз чрез Европейския социален фонд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BD6D1" w14:textId="77777777" w:rsidR="007E2D2A" w:rsidRDefault="007E2D2A" w:rsidP="004E54B6">
      <w:r>
        <w:separator/>
      </w:r>
    </w:p>
  </w:footnote>
  <w:footnote w:type="continuationSeparator" w:id="0">
    <w:p w14:paraId="1F2F9081" w14:textId="77777777" w:rsidR="007E2D2A" w:rsidRDefault="007E2D2A" w:rsidP="004E5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49D8" w14:textId="104A1667" w:rsidR="00AA2B1D" w:rsidRDefault="00AA2B1D" w:rsidP="004353E6">
    <w:pPr>
      <w:pStyle w:val="Header"/>
      <w:jc w:val="center"/>
    </w:pPr>
    <w:r>
      <w:rPr>
        <w:noProof/>
      </w:rPr>
      <w:drawing>
        <wp:inline distT="0" distB="0" distL="0" distR="0" wp14:anchorId="726C7230" wp14:editId="4E8980D9">
          <wp:extent cx="5756910" cy="830034"/>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3003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03255" w14:textId="0D9FFD46" w:rsidR="005B703F" w:rsidRDefault="005B703F">
    <w:pPr>
      <w:pStyle w:val="Header"/>
    </w:pPr>
    <w:r>
      <w:rPr>
        <w:noProof/>
      </w:rPr>
      <w:drawing>
        <wp:inline distT="0" distB="0" distL="0" distR="0" wp14:anchorId="4DC4121D" wp14:editId="43852E99">
          <wp:extent cx="575691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29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30D75E"/>
    <w:lvl w:ilvl="0">
      <w:numFmt w:val="bullet"/>
      <w:lvlText w:val="*"/>
      <w:lvlJc w:val="left"/>
    </w:lvl>
  </w:abstractNum>
  <w:abstractNum w:abstractNumId="1">
    <w:nsid w:val="0AB86830"/>
    <w:multiLevelType w:val="hybridMultilevel"/>
    <w:tmpl w:val="2370D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D5FCE"/>
    <w:multiLevelType w:val="hybridMultilevel"/>
    <w:tmpl w:val="7E70F06A"/>
    <w:lvl w:ilvl="0" w:tplc="BE2886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E58E5"/>
    <w:multiLevelType w:val="multilevel"/>
    <w:tmpl w:val="80C44B74"/>
    <w:lvl w:ilvl="0">
      <w:start w:val="1"/>
      <w:numFmt w:val="decimal"/>
      <w:lvlText w:val="%1"/>
      <w:lvlJc w:val="left"/>
      <w:pPr>
        <w:ind w:left="432" w:hanging="432"/>
      </w:pPr>
      <w:rPr>
        <w:rFonts w:hint="default"/>
        <w:b/>
        <w:i w:val="0"/>
        <w:sz w:val="28"/>
        <w:szCs w:val="28"/>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C455DF9"/>
    <w:multiLevelType w:val="hybridMultilevel"/>
    <w:tmpl w:val="EAAA42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F3A4D8D"/>
    <w:multiLevelType w:val="hybridMultilevel"/>
    <w:tmpl w:val="A1FCC6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2922BD7"/>
    <w:multiLevelType w:val="hybridMultilevel"/>
    <w:tmpl w:val="3326C1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16CE1E57"/>
    <w:multiLevelType w:val="hybridMultilevel"/>
    <w:tmpl w:val="4C304154"/>
    <w:lvl w:ilvl="0" w:tplc="04020001">
      <w:start w:val="1"/>
      <w:numFmt w:val="bullet"/>
      <w:lvlText w:val=""/>
      <w:lvlJc w:val="left"/>
      <w:pPr>
        <w:ind w:left="720" w:hanging="360"/>
      </w:pPr>
      <w:rPr>
        <w:rFonts w:ascii="Symbol" w:hAnsi="Symbol" w:hint="default"/>
      </w:rPr>
    </w:lvl>
    <w:lvl w:ilvl="1" w:tplc="3ED26CA2">
      <w:start w:val="1"/>
      <w:numFmt w:val="bullet"/>
      <w:lvlText w:val=""/>
      <w:lvlJc w:val="left"/>
      <w:pPr>
        <w:tabs>
          <w:tab w:val="num" w:pos="1440"/>
        </w:tabs>
        <w:ind w:left="1440" w:hanging="360"/>
      </w:pPr>
      <w:rPr>
        <w:rFonts w:ascii="Symbol" w:hAnsi="Symbol" w:hint="default"/>
        <w:b w:val="0"/>
        <w:i w:val="0"/>
        <w:color w:val="auto"/>
        <w:sz w:val="24"/>
      </w:rPr>
    </w:lvl>
    <w:lvl w:ilvl="2" w:tplc="99C8F88C">
      <w:numFmt w:val="bullet"/>
      <w:lvlText w:val="-"/>
      <w:lvlJc w:val="left"/>
      <w:pPr>
        <w:tabs>
          <w:tab w:val="num" w:pos="2951"/>
        </w:tabs>
        <w:ind w:left="3499" w:hanging="1699"/>
      </w:pPr>
      <w:rPr>
        <w:rFonts w:ascii="Courier New" w:eastAsia="Times New Roman"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56753"/>
    <w:multiLevelType w:val="hybridMultilevel"/>
    <w:tmpl w:val="3FECC436"/>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9">
    <w:nsid w:val="1A5732AD"/>
    <w:multiLevelType w:val="multilevel"/>
    <w:tmpl w:val="453A4494"/>
    <w:lvl w:ilvl="0">
      <w:start w:val="5"/>
      <w:numFmt w:val="decimal"/>
      <w:lvlText w:val="%1"/>
      <w:lvlJc w:val="left"/>
      <w:pPr>
        <w:ind w:left="432" w:hanging="432"/>
      </w:pPr>
      <w:rPr>
        <w:rFonts w:hint="default"/>
        <w:b/>
        <w:i w:val="0"/>
        <w:sz w:val="28"/>
        <w:szCs w:val="28"/>
      </w:rPr>
    </w:lvl>
    <w:lvl w:ilvl="1">
      <w:start w:val="1"/>
      <w:numFmt w:val="decimal"/>
      <w:lvlText w:val="3.%2"/>
      <w:lvlJc w:val="left"/>
      <w:pPr>
        <w:ind w:left="576" w:hanging="576"/>
      </w:pPr>
      <w:rPr>
        <w:rFonts w:hint="default"/>
        <w:i w: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F87233D"/>
    <w:multiLevelType w:val="hybridMultilevel"/>
    <w:tmpl w:val="0E8088E6"/>
    <w:lvl w:ilvl="0" w:tplc="04020001">
      <w:start w:val="1"/>
      <w:numFmt w:val="bullet"/>
      <w:lvlText w:val=""/>
      <w:lvlJc w:val="left"/>
      <w:pPr>
        <w:ind w:left="720" w:hanging="360"/>
      </w:pPr>
      <w:rPr>
        <w:rFonts w:ascii="Symbol" w:hAnsi="Symbol" w:hint="default"/>
      </w:rPr>
    </w:lvl>
    <w:lvl w:ilvl="1" w:tplc="3ED26CA2">
      <w:start w:val="1"/>
      <w:numFmt w:val="bullet"/>
      <w:lvlText w:val=""/>
      <w:lvlJc w:val="left"/>
      <w:pPr>
        <w:tabs>
          <w:tab w:val="num" w:pos="1440"/>
        </w:tabs>
        <w:ind w:left="1440" w:hanging="360"/>
      </w:pPr>
      <w:rPr>
        <w:rFonts w:ascii="Symbol" w:hAnsi="Symbol" w:hint="default"/>
        <w:b w:val="0"/>
        <w:i w:val="0"/>
        <w:color w:val="auto"/>
        <w:sz w:val="24"/>
      </w:rPr>
    </w:lvl>
    <w:lvl w:ilvl="2" w:tplc="99C8F88C">
      <w:numFmt w:val="bullet"/>
      <w:lvlText w:val="-"/>
      <w:lvlJc w:val="left"/>
      <w:pPr>
        <w:tabs>
          <w:tab w:val="num" w:pos="2951"/>
        </w:tabs>
        <w:ind w:left="3499" w:hanging="1699"/>
      </w:pPr>
      <w:rPr>
        <w:rFonts w:ascii="Courier New" w:eastAsia="Times New Roman"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9309BC"/>
    <w:multiLevelType w:val="hybridMultilevel"/>
    <w:tmpl w:val="3AE26384"/>
    <w:lvl w:ilvl="0" w:tplc="536CB5AA">
      <w:start w:val="1"/>
      <w:numFmt w:val="bullet"/>
      <w:lvlText w:val=""/>
      <w:lvlJc w:val="left"/>
      <w:pPr>
        <w:tabs>
          <w:tab w:val="num" w:pos="1130"/>
        </w:tabs>
        <w:ind w:left="1130" w:hanging="360"/>
      </w:pPr>
      <w:rPr>
        <w:rFonts w:ascii="Symbol" w:hAnsi="Symbol" w:hint="default"/>
      </w:rPr>
    </w:lvl>
    <w:lvl w:ilvl="1" w:tplc="04020003">
      <w:start w:val="1"/>
      <w:numFmt w:val="bullet"/>
      <w:lvlText w:val="o"/>
      <w:lvlJc w:val="left"/>
      <w:pPr>
        <w:tabs>
          <w:tab w:val="num" w:pos="1789"/>
        </w:tabs>
        <w:ind w:left="1789" w:hanging="360"/>
      </w:pPr>
      <w:rPr>
        <w:rFonts w:ascii="Courier New" w:hAnsi="Courier New" w:cs="Courier New" w:hint="default"/>
      </w:rPr>
    </w:lvl>
    <w:lvl w:ilvl="2" w:tplc="04020005">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12">
    <w:nsid w:val="26885ED8"/>
    <w:multiLevelType w:val="hybridMultilevel"/>
    <w:tmpl w:val="B8F6308E"/>
    <w:lvl w:ilvl="0" w:tplc="9F0648A0">
      <w:start w:val="1"/>
      <w:numFmt w:val="bullet"/>
      <w:lvlText w:val=""/>
      <w:lvlJc w:val="left"/>
      <w:pPr>
        <w:tabs>
          <w:tab w:val="num" w:pos="360"/>
        </w:tabs>
        <w:ind w:left="360" w:hanging="360"/>
      </w:pPr>
      <w:rPr>
        <w:rFonts w:ascii="Symbol" w:hAnsi="Symbol" w:hint="default"/>
        <w:color w:val="auto"/>
      </w:rPr>
    </w:lvl>
    <w:lvl w:ilvl="1" w:tplc="04020003">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13">
    <w:nsid w:val="269674BD"/>
    <w:multiLevelType w:val="hybridMultilevel"/>
    <w:tmpl w:val="A056B3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6DF757F"/>
    <w:multiLevelType w:val="multilevel"/>
    <w:tmpl w:val="E15AF8B8"/>
    <w:lvl w:ilvl="0">
      <w:start w:val="5"/>
      <w:numFmt w:val="decimal"/>
      <w:lvlText w:val="%1"/>
      <w:lvlJc w:val="left"/>
      <w:pPr>
        <w:ind w:left="432" w:hanging="432"/>
      </w:pPr>
      <w:rPr>
        <w:rFonts w:hint="default"/>
        <w:b/>
        <w:i w:val="0"/>
        <w:sz w:val="28"/>
        <w:szCs w:val="28"/>
      </w:rPr>
    </w:lvl>
    <w:lvl w:ilvl="1">
      <w:start w:val="1"/>
      <w:numFmt w:val="decimal"/>
      <w:lvlText w:val="2.%2"/>
      <w:lvlJc w:val="left"/>
      <w:pPr>
        <w:ind w:left="576" w:hanging="576"/>
      </w:pPr>
      <w:rPr>
        <w:rFonts w:hint="default"/>
        <w:i w: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D472F25"/>
    <w:multiLevelType w:val="hybridMultilevel"/>
    <w:tmpl w:val="A7AC06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47D6AEB"/>
    <w:multiLevelType w:val="multilevel"/>
    <w:tmpl w:val="6C2A2944"/>
    <w:lvl w:ilvl="0">
      <w:start w:val="5"/>
      <w:numFmt w:val="decimal"/>
      <w:lvlText w:val="%1"/>
      <w:lvlJc w:val="left"/>
      <w:pPr>
        <w:ind w:left="432" w:hanging="432"/>
      </w:pPr>
      <w:rPr>
        <w:rFonts w:hint="default"/>
        <w:b/>
        <w:i w:val="0"/>
        <w:sz w:val="28"/>
        <w:szCs w:val="28"/>
      </w:rPr>
    </w:lvl>
    <w:lvl w:ilvl="1">
      <w:start w:val="1"/>
      <w:numFmt w:val="decimal"/>
      <w:lvlText w:val="3.%2"/>
      <w:lvlJc w:val="left"/>
      <w:pPr>
        <w:ind w:left="576" w:hanging="576"/>
      </w:pPr>
      <w:rPr>
        <w:rFonts w:hint="default"/>
        <w:i w: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67F53BD"/>
    <w:multiLevelType w:val="hybridMultilevel"/>
    <w:tmpl w:val="9B8E13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AD41D92"/>
    <w:multiLevelType w:val="hybridMultilevel"/>
    <w:tmpl w:val="43FECF6C"/>
    <w:lvl w:ilvl="0" w:tplc="0C429232">
      <w:start w:val="1"/>
      <w:numFmt w:val="bullet"/>
      <w:lvlText w:val=""/>
      <w:lvlJc w:val="left"/>
      <w:pPr>
        <w:tabs>
          <w:tab w:val="num" w:pos="1429"/>
        </w:tabs>
        <w:ind w:left="1429" w:hanging="360"/>
      </w:pPr>
      <w:rPr>
        <w:rFonts w:ascii="Symbol" w:hAnsi="Symbol" w:hint="default"/>
        <w:b w:val="0"/>
        <w:color w:val="auto"/>
        <w:sz w:val="24"/>
        <w:szCs w:val="24"/>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9">
    <w:nsid w:val="3DEF28C2"/>
    <w:multiLevelType w:val="hybridMultilevel"/>
    <w:tmpl w:val="8CBA23D6"/>
    <w:lvl w:ilvl="0" w:tplc="9F0648A0">
      <w:start w:val="1"/>
      <w:numFmt w:val="bullet"/>
      <w:pStyle w:val="Application4"/>
      <w:lvlText w:val=""/>
      <w:lvlJc w:val="left"/>
      <w:pPr>
        <w:tabs>
          <w:tab w:val="num" w:pos="720"/>
        </w:tabs>
        <w:ind w:left="720" w:hanging="360"/>
      </w:pPr>
      <w:rPr>
        <w:rFonts w:ascii="Symbol" w:hAnsi="Symbol"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44802015"/>
    <w:multiLevelType w:val="hybridMultilevel"/>
    <w:tmpl w:val="5504110C"/>
    <w:lvl w:ilvl="0" w:tplc="FFFFFFFF">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6B01D2B"/>
    <w:multiLevelType w:val="hybridMultilevel"/>
    <w:tmpl w:val="556EB53E"/>
    <w:lvl w:ilvl="0" w:tplc="04020005">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nsid w:val="49644B17"/>
    <w:multiLevelType w:val="hybridMultilevel"/>
    <w:tmpl w:val="CF9AD0F0"/>
    <w:lvl w:ilvl="0" w:tplc="21A05CA2">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9A7513A"/>
    <w:multiLevelType w:val="hybridMultilevel"/>
    <w:tmpl w:val="BC7EB3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9F27CEE"/>
    <w:multiLevelType w:val="hybridMultilevel"/>
    <w:tmpl w:val="F162E6D8"/>
    <w:lvl w:ilvl="0" w:tplc="04090001">
      <w:start w:val="1"/>
      <w:numFmt w:val="bullet"/>
      <w:lvlText w:val=""/>
      <w:lvlJc w:val="left"/>
      <w:pPr>
        <w:ind w:left="1440" w:hanging="90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4CCD0DDC"/>
    <w:multiLevelType w:val="multilevel"/>
    <w:tmpl w:val="E1D65176"/>
    <w:lvl w:ilvl="0">
      <w:start w:val="5"/>
      <w:numFmt w:val="decimal"/>
      <w:lvlText w:val="%1"/>
      <w:lvlJc w:val="left"/>
      <w:pPr>
        <w:ind w:left="432" w:hanging="432"/>
      </w:pPr>
      <w:rPr>
        <w:rFonts w:hint="default"/>
        <w:b/>
        <w:i w:val="0"/>
        <w:sz w:val="28"/>
        <w:szCs w:val="28"/>
      </w:rPr>
    </w:lvl>
    <w:lvl w:ilvl="1">
      <w:start w:val="1"/>
      <w:numFmt w:val="decimal"/>
      <w:lvlText w:val="4.%2"/>
      <w:lvlJc w:val="left"/>
      <w:pPr>
        <w:ind w:left="576" w:hanging="576"/>
      </w:pPr>
      <w:rPr>
        <w:rFonts w:hint="default"/>
        <w:i w: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E7764C0"/>
    <w:multiLevelType w:val="hybridMultilevel"/>
    <w:tmpl w:val="3184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E26B56"/>
    <w:multiLevelType w:val="hybridMultilevel"/>
    <w:tmpl w:val="FD925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DF24F3"/>
    <w:multiLevelType w:val="multilevel"/>
    <w:tmpl w:val="6FD4A664"/>
    <w:lvl w:ilvl="0">
      <w:start w:val="1"/>
      <w:numFmt w:val="decimal"/>
      <w:lvlText w:val="4.%1."/>
      <w:lvlJc w:val="left"/>
      <w:pPr>
        <w:ind w:left="360" w:hanging="360"/>
      </w:pPr>
      <w:rPr>
        <w:rFonts w:ascii="Times New Roman Bold" w:hAnsi="Times New Roman Bold" w:hint="default"/>
        <w:b/>
        <w:i w:val="0"/>
        <w:color w:val="auto"/>
        <w:sz w:val="24"/>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29534C0"/>
    <w:multiLevelType w:val="hybridMultilevel"/>
    <w:tmpl w:val="AAC8551E"/>
    <w:lvl w:ilvl="0" w:tplc="04020001">
      <w:start w:val="1"/>
      <w:numFmt w:val="bullet"/>
      <w:lvlText w:val=""/>
      <w:lvlJc w:val="left"/>
      <w:pPr>
        <w:ind w:left="720" w:hanging="360"/>
      </w:pPr>
      <w:rPr>
        <w:rFonts w:ascii="Symbol" w:hAnsi="Symbol" w:hint="default"/>
      </w:rPr>
    </w:lvl>
    <w:lvl w:ilvl="1" w:tplc="3ED26CA2">
      <w:start w:val="1"/>
      <w:numFmt w:val="bullet"/>
      <w:lvlText w:val=""/>
      <w:lvlJc w:val="left"/>
      <w:pPr>
        <w:tabs>
          <w:tab w:val="num" w:pos="1440"/>
        </w:tabs>
        <w:ind w:left="1440" w:hanging="360"/>
      </w:pPr>
      <w:rPr>
        <w:rFonts w:ascii="Symbol" w:hAnsi="Symbol" w:hint="default"/>
        <w:b w:val="0"/>
        <w:i w:val="0"/>
        <w:color w:val="auto"/>
        <w:sz w:val="24"/>
      </w:rPr>
    </w:lvl>
    <w:lvl w:ilvl="2" w:tplc="99C8F88C">
      <w:numFmt w:val="bullet"/>
      <w:lvlText w:val="-"/>
      <w:lvlJc w:val="left"/>
      <w:pPr>
        <w:tabs>
          <w:tab w:val="num" w:pos="2951"/>
        </w:tabs>
        <w:ind w:left="3499" w:hanging="1699"/>
      </w:pPr>
      <w:rPr>
        <w:rFonts w:ascii="Courier New" w:eastAsia="Times New Roman"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32D86"/>
    <w:multiLevelType w:val="multilevel"/>
    <w:tmpl w:val="D35CEBBE"/>
    <w:lvl w:ilvl="0">
      <w:start w:val="1"/>
      <w:numFmt w:val="decimal"/>
      <w:lvlText w:val="%1"/>
      <w:lvlJc w:val="left"/>
      <w:pPr>
        <w:ind w:left="432" w:hanging="432"/>
      </w:pPr>
      <w:rPr>
        <w:rFonts w:hint="default"/>
        <w:b/>
        <w:i w:val="0"/>
        <w:sz w:val="28"/>
        <w:szCs w:val="28"/>
      </w:rPr>
    </w:lvl>
    <w:lvl w:ilvl="1">
      <w:start w:val="1"/>
      <w:numFmt w:val="decimal"/>
      <w:lvlText w:val="2.%2"/>
      <w:lvlJc w:val="left"/>
      <w:pPr>
        <w:ind w:left="576" w:hanging="576"/>
      </w:pPr>
      <w:rPr>
        <w:rFonts w:hint="default"/>
        <w:i w: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A72556D"/>
    <w:multiLevelType w:val="hybridMultilevel"/>
    <w:tmpl w:val="25208612"/>
    <w:lvl w:ilvl="0" w:tplc="727A3E3E">
      <w:start w:val="1"/>
      <w:numFmt w:val="bullet"/>
      <w:pStyle w:val="Svetlobullet"/>
      <w:lvlText w:val="o"/>
      <w:lvlJc w:val="left"/>
      <w:pPr>
        <w:tabs>
          <w:tab w:val="num" w:pos="1069"/>
        </w:tabs>
        <w:ind w:left="1069" w:hanging="360"/>
      </w:pPr>
      <w:rPr>
        <w:rFonts w:ascii="Courier New" w:hAnsi="Courier New" w:cs="Courier New" w:hint="default"/>
      </w:rPr>
    </w:lvl>
    <w:lvl w:ilvl="1" w:tplc="04020003">
      <w:start w:val="1"/>
      <w:numFmt w:val="bullet"/>
      <w:lvlText w:val="o"/>
      <w:lvlJc w:val="left"/>
      <w:pPr>
        <w:tabs>
          <w:tab w:val="num" w:pos="1789"/>
        </w:tabs>
        <w:ind w:left="1789" w:hanging="360"/>
      </w:pPr>
      <w:rPr>
        <w:rFonts w:ascii="Courier New" w:hAnsi="Courier New" w:cs="Courier New" w:hint="default"/>
      </w:rPr>
    </w:lvl>
    <w:lvl w:ilvl="2" w:tplc="04020005">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32">
    <w:nsid w:val="6C833540"/>
    <w:multiLevelType w:val="hybridMultilevel"/>
    <w:tmpl w:val="4636EF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C395D15"/>
    <w:multiLevelType w:val="hybridMultilevel"/>
    <w:tmpl w:val="7CDC84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7CD37E05"/>
    <w:multiLevelType w:val="hybridMultilevel"/>
    <w:tmpl w:val="E8708F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F152D44"/>
    <w:multiLevelType w:val="hybridMultilevel"/>
    <w:tmpl w:val="741014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1"/>
  </w:num>
  <w:num w:numId="2">
    <w:abstractNumId w:val="20"/>
  </w:num>
  <w:num w:numId="3">
    <w:abstractNumId w:val="27"/>
  </w:num>
  <w:num w:numId="4">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5">
    <w:abstractNumId w:val="24"/>
  </w:num>
  <w:num w:numId="6">
    <w:abstractNumId w:val="26"/>
  </w:num>
  <w:num w:numId="7">
    <w:abstractNumId w:val="2"/>
  </w:num>
  <w:num w:numId="8">
    <w:abstractNumId w:val="19"/>
  </w:num>
  <w:num w:numId="9">
    <w:abstractNumId w:val="30"/>
  </w:num>
  <w:num w:numId="10">
    <w:abstractNumId w:val="31"/>
  </w:num>
  <w:num w:numId="11">
    <w:abstractNumId w:val="11"/>
  </w:num>
  <w:num w:numId="12">
    <w:abstractNumId w:val="12"/>
  </w:num>
  <w:num w:numId="13">
    <w:abstractNumId w:val="18"/>
  </w:num>
  <w:num w:numId="14">
    <w:abstractNumId w:val="8"/>
  </w:num>
  <w:num w:numId="15">
    <w:abstractNumId w:val="14"/>
  </w:num>
  <w:num w:numId="16">
    <w:abstractNumId w:val="30"/>
    <w:lvlOverride w:ilvl="0">
      <w:lvl w:ilvl="0">
        <w:start w:val="1"/>
        <w:numFmt w:val="decimal"/>
        <w:lvlText w:val="%1"/>
        <w:lvlJc w:val="left"/>
        <w:pPr>
          <w:ind w:left="432" w:hanging="432"/>
        </w:pPr>
        <w:rPr>
          <w:rFonts w:hint="default"/>
          <w:b/>
          <w:i w:val="0"/>
          <w:sz w:val="28"/>
          <w:szCs w:val="28"/>
        </w:rPr>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abstractNumId w:val="9"/>
  </w:num>
  <w:num w:numId="18">
    <w:abstractNumId w:val="25"/>
  </w:num>
  <w:num w:numId="19">
    <w:abstractNumId w:val="3"/>
  </w:num>
  <w:num w:numId="20">
    <w:abstractNumId w:val="16"/>
  </w:num>
  <w:num w:numId="21">
    <w:abstractNumId w:val="32"/>
  </w:num>
  <w:num w:numId="22">
    <w:abstractNumId w:val="6"/>
  </w:num>
  <w:num w:numId="23">
    <w:abstractNumId w:val="28"/>
  </w:num>
  <w:num w:numId="24">
    <w:abstractNumId w:val="35"/>
  </w:num>
  <w:num w:numId="25">
    <w:abstractNumId w:val="17"/>
  </w:num>
  <w:num w:numId="26">
    <w:abstractNumId w:val="34"/>
  </w:num>
  <w:num w:numId="27">
    <w:abstractNumId w:val="23"/>
  </w:num>
  <w:num w:numId="28">
    <w:abstractNumId w:val="33"/>
  </w:num>
  <w:num w:numId="29">
    <w:abstractNumId w:val="29"/>
  </w:num>
  <w:num w:numId="30">
    <w:abstractNumId w:val="13"/>
  </w:num>
  <w:num w:numId="31">
    <w:abstractNumId w:val="4"/>
  </w:num>
  <w:num w:numId="32">
    <w:abstractNumId w:val="5"/>
  </w:num>
  <w:num w:numId="33">
    <w:abstractNumId w:val="10"/>
  </w:num>
  <w:num w:numId="34">
    <w:abstractNumId w:val="7"/>
  </w:num>
  <w:num w:numId="35">
    <w:abstractNumId w:val="1"/>
  </w:num>
  <w:num w:numId="36">
    <w:abstractNumId w:val="22"/>
  </w:num>
  <w:num w:numId="37">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A8"/>
    <w:rsid w:val="00000433"/>
    <w:rsid w:val="00007226"/>
    <w:rsid w:val="000534E5"/>
    <w:rsid w:val="00056F2C"/>
    <w:rsid w:val="00087187"/>
    <w:rsid w:val="000C4CB8"/>
    <w:rsid w:val="00111868"/>
    <w:rsid w:val="00112753"/>
    <w:rsid w:val="001C55AD"/>
    <w:rsid w:val="00206CB0"/>
    <w:rsid w:val="00221E9A"/>
    <w:rsid w:val="00250FB1"/>
    <w:rsid w:val="00292956"/>
    <w:rsid w:val="002C70EF"/>
    <w:rsid w:val="002E452A"/>
    <w:rsid w:val="0030555C"/>
    <w:rsid w:val="003060F6"/>
    <w:rsid w:val="00357409"/>
    <w:rsid w:val="003B2D20"/>
    <w:rsid w:val="003E2364"/>
    <w:rsid w:val="004353E6"/>
    <w:rsid w:val="004D5A25"/>
    <w:rsid w:val="004E54B6"/>
    <w:rsid w:val="00524053"/>
    <w:rsid w:val="005355A8"/>
    <w:rsid w:val="005631C3"/>
    <w:rsid w:val="005B703F"/>
    <w:rsid w:val="005D7F67"/>
    <w:rsid w:val="005E58BF"/>
    <w:rsid w:val="00632F8F"/>
    <w:rsid w:val="00654761"/>
    <w:rsid w:val="006744E2"/>
    <w:rsid w:val="006B5F42"/>
    <w:rsid w:val="007005B3"/>
    <w:rsid w:val="00736E6D"/>
    <w:rsid w:val="00785FE9"/>
    <w:rsid w:val="007D4407"/>
    <w:rsid w:val="007E2D2A"/>
    <w:rsid w:val="007E7BAD"/>
    <w:rsid w:val="007F221B"/>
    <w:rsid w:val="008046AA"/>
    <w:rsid w:val="00897DBF"/>
    <w:rsid w:val="008D5B34"/>
    <w:rsid w:val="00963FBA"/>
    <w:rsid w:val="00982C12"/>
    <w:rsid w:val="00984A11"/>
    <w:rsid w:val="00986F20"/>
    <w:rsid w:val="009B5F02"/>
    <w:rsid w:val="009C43EE"/>
    <w:rsid w:val="009D1000"/>
    <w:rsid w:val="00A31690"/>
    <w:rsid w:val="00A65DA7"/>
    <w:rsid w:val="00A71EBC"/>
    <w:rsid w:val="00A721EC"/>
    <w:rsid w:val="00A86D33"/>
    <w:rsid w:val="00A902C0"/>
    <w:rsid w:val="00A96920"/>
    <w:rsid w:val="00AA2B1D"/>
    <w:rsid w:val="00AC26F6"/>
    <w:rsid w:val="00AC6218"/>
    <w:rsid w:val="00AF7157"/>
    <w:rsid w:val="00B2674D"/>
    <w:rsid w:val="00B268B4"/>
    <w:rsid w:val="00B45428"/>
    <w:rsid w:val="00BE253D"/>
    <w:rsid w:val="00BF4EBA"/>
    <w:rsid w:val="00BF5B13"/>
    <w:rsid w:val="00BF6839"/>
    <w:rsid w:val="00C0558B"/>
    <w:rsid w:val="00C3427A"/>
    <w:rsid w:val="00C36EF1"/>
    <w:rsid w:val="00C81736"/>
    <w:rsid w:val="00C91CE2"/>
    <w:rsid w:val="00C94F0E"/>
    <w:rsid w:val="00CB2DE5"/>
    <w:rsid w:val="00CC7B69"/>
    <w:rsid w:val="00CF60C3"/>
    <w:rsid w:val="00D52B36"/>
    <w:rsid w:val="00D64E8C"/>
    <w:rsid w:val="00DB7A14"/>
    <w:rsid w:val="00DF098E"/>
    <w:rsid w:val="00E176FB"/>
    <w:rsid w:val="00E70F75"/>
    <w:rsid w:val="00E72C11"/>
    <w:rsid w:val="00E9594B"/>
    <w:rsid w:val="00EA27C2"/>
    <w:rsid w:val="00EA4FF4"/>
    <w:rsid w:val="00EB2803"/>
    <w:rsid w:val="00EB34A5"/>
    <w:rsid w:val="00EC691A"/>
    <w:rsid w:val="00EF6AAA"/>
    <w:rsid w:val="00F159A4"/>
    <w:rsid w:val="00F37378"/>
    <w:rsid w:val="00FA09AA"/>
    <w:rsid w:val="00FA4BD7"/>
    <w:rsid w:val="00FB6D29"/>
    <w:rsid w:val="00FD6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F2009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A8"/>
    <w:rPr>
      <w:rFonts w:ascii="Times New Roman" w:eastAsia="Times New Roman" w:hAnsi="Times New Roman" w:cs="Times New Roman"/>
      <w:lang w:val="bg-BG" w:eastAsia="bg-BG"/>
    </w:rPr>
  </w:style>
  <w:style w:type="paragraph" w:styleId="Heading1">
    <w:name w:val="heading 1"/>
    <w:basedOn w:val="Normal"/>
    <w:next w:val="Normal"/>
    <w:link w:val="Heading1Char"/>
    <w:uiPriority w:val="9"/>
    <w:qFormat/>
    <w:rsid w:val="003060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06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355A8"/>
    <w:pPr>
      <w:keepNext/>
      <w:spacing w:before="240" w:after="60" w:line="276" w:lineRule="auto"/>
      <w:outlineLvl w:val="2"/>
    </w:pPr>
    <w:rPr>
      <w:rFonts w:ascii="Cambria" w:hAnsi="Cambria"/>
      <w:b/>
      <w:bCs/>
      <w:sz w:val="26"/>
      <w:szCs w:val="26"/>
      <w:lang w:eastAsia="en-US"/>
    </w:rPr>
  </w:style>
  <w:style w:type="paragraph" w:styleId="Heading4">
    <w:name w:val="heading 4"/>
    <w:basedOn w:val="Normal"/>
    <w:next w:val="Normal"/>
    <w:link w:val="Heading4Char"/>
    <w:uiPriority w:val="9"/>
    <w:unhideWhenUsed/>
    <w:qFormat/>
    <w:rsid w:val="00AF71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55A8"/>
    <w:rPr>
      <w:rFonts w:ascii="Cambria" w:eastAsia="Times New Roman" w:hAnsi="Cambria" w:cs="Times New Roman"/>
      <w:b/>
      <w:bCs/>
      <w:sz w:val="26"/>
      <w:szCs w:val="26"/>
      <w:lang w:val="bg-BG"/>
    </w:rPr>
  </w:style>
  <w:style w:type="paragraph" w:styleId="Footer">
    <w:name w:val="footer"/>
    <w:basedOn w:val="Normal"/>
    <w:link w:val="FooterChar"/>
    <w:uiPriority w:val="99"/>
    <w:rsid w:val="005355A8"/>
    <w:pPr>
      <w:tabs>
        <w:tab w:val="center" w:pos="4536"/>
        <w:tab w:val="right" w:pos="9072"/>
      </w:tabs>
    </w:pPr>
    <w:rPr>
      <w:lang w:val="x-none" w:eastAsia="x-none"/>
    </w:rPr>
  </w:style>
  <w:style w:type="character" w:customStyle="1" w:styleId="FooterChar">
    <w:name w:val="Footer Char"/>
    <w:basedOn w:val="DefaultParagraphFont"/>
    <w:link w:val="Footer"/>
    <w:uiPriority w:val="99"/>
    <w:rsid w:val="005355A8"/>
    <w:rPr>
      <w:rFonts w:ascii="Times New Roman" w:eastAsia="Times New Roman" w:hAnsi="Times New Roman" w:cs="Times New Roman"/>
      <w:lang w:val="x-none" w:eastAsia="x-none"/>
    </w:rPr>
  </w:style>
  <w:style w:type="paragraph" w:styleId="BodyText">
    <w:name w:val="Body Text"/>
    <w:aliases w:val="heading_txt,CV Body Text,bodytxy2,jtext,John1,One Page Summary,bt,Starbucks Body Text,heading3,3 indent,heading31,body text1,3 indent1,heading32,body text2,3 indent2,heading33,body text3,3 indent3,heading34,body text4,3 indent4,t"/>
    <w:basedOn w:val="Normal"/>
    <w:link w:val="BodyTextChar"/>
    <w:qFormat/>
    <w:rsid w:val="005355A8"/>
    <w:pPr>
      <w:spacing w:after="120"/>
    </w:pPr>
    <w:rPr>
      <w:lang w:val="x-none" w:eastAsia="x-none"/>
    </w:rPr>
  </w:style>
  <w:style w:type="character" w:customStyle="1" w:styleId="BodyTextChar">
    <w:name w:val="Body Text Char"/>
    <w:aliases w:val="heading_txt Char,CV Body Text Char,bodytxy2 Char,jtext Char,John1 Char,One Page Summary Char,bt Char,Starbucks Body Text Char,heading3 Char,3 indent Char,heading31 Char,body text1 Char,3 indent1 Char,heading32 Char,body text2 Char,t Char"/>
    <w:basedOn w:val="DefaultParagraphFont"/>
    <w:link w:val="BodyText"/>
    <w:rsid w:val="005355A8"/>
    <w:rPr>
      <w:rFonts w:ascii="Times New Roman" w:eastAsia="Times New Roman" w:hAnsi="Times New Roman" w:cs="Times New Roman"/>
      <w:lang w:val="x-none" w:eastAsia="x-none"/>
    </w:rPr>
  </w:style>
  <w:style w:type="paragraph" w:styleId="BodyText2">
    <w:name w:val="Body Text 2"/>
    <w:basedOn w:val="Normal"/>
    <w:link w:val="BodyText2Char"/>
    <w:rsid w:val="005355A8"/>
    <w:pPr>
      <w:spacing w:after="120" w:line="480" w:lineRule="auto"/>
    </w:pPr>
    <w:rPr>
      <w:lang w:val="x-none" w:eastAsia="x-none"/>
    </w:rPr>
  </w:style>
  <w:style w:type="character" w:customStyle="1" w:styleId="BodyText2Char">
    <w:name w:val="Body Text 2 Char"/>
    <w:basedOn w:val="DefaultParagraphFont"/>
    <w:link w:val="BodyText2"/>
    <w:rsid w:val="005355A8"/>
    <w:rPr>
      <w:rFonts w:ascii="Times New Roman" w:eastAsia="Times New Roman" w:hAnsi="Times New Roman" w:cs="Times New Roman"/>
      <w:lang w:val="x-none" w:eastAsia="x-none"/>
    </w:rPr>
  </w:style>
  <w:style w:type="paragraph" w:customStyle="1" w:styleId="Default">
    <w:name w:val="Default"/>
    <w:rsid w:val="005355A8"/>
    <w:pPr>
      <w:autoSpaceDE w:val="0"/>
      <w:autoSpaceDN w:val="0"/>
      <w:adjustRightInd w:val="0"/>
    </w:pPr>
    <w:rPr>
      <w:rFonts w:ascii="Times New Roman" w:eastAsia="Times New Roman" w:hAnsi="Times New Roman" w:cs="Times New Roman"/>
      <w:color w:val="000000"/>
      <w:lang w:val="bg-BG" w:eastAsia="bg-BG"/>
    </w:rPr>
  </w:style>
  <w:style w:type="character" w:styleId="Strong">
    <w:name w:val="Strong"/>
    <w:uiPriority w:val="22"/>
    <w:qFormat/>
    <w:rsid w:val="005355A8"/>
    <w:rPr>
      <w:rFonts w:ascii="Times New Roman" w:hAnsi="Times New Roman" w:cs="Times New Roman" w:hint="default"/>
      <w:b/>
      <w:bCs/>
    </w:rPr>
  </w:style>
  <w:style w:type="character" w:customStyle="1" w:styleId="6">
    <w:name w:val="Заглавие #6_"/>
    <w:link w:val="60"/>
    <w:rsid w:val="005355A8"/>
    <w:rPr>
      <w:sz w:val="23"/>
      <w:szCs w:val="23"/>
      <w:shd w:val="clear" w:color="auto" w:fill="FFFFFF"/>
    </w:rPr>
  </w:style>
  <w:style w:type="paragraph" w:customStyle="1" w:styleId="1">
    <w:name w:val="Основен текст1"/>
    <w:basedOn w:val="Normal"/>
    <w:rsid w:val="005355A8"/>
    <w:pPr>
      <w:widowControl w:val="0"/>
      <w:shd w:val="clear" w:color="auto" w:fill="FFFFFF"/>
      <w:spacing w:line="413" w:lineRule="exact"/>
      <w:ind w:hanging="780"/>
    </w:pPr>
    <w:rPr>
      <w:color w:val="000000"/>
      <w:sz w:val="23"/>
      <w:szCs w:val="23"/>
      <w:lang w:eastAsia="zh-CN"/>
    </w:rPr>
  </w:style>
  <w:style w:type="paragraph" w:customStyle="1" w:styleId="60">
    <w:name w:val="Заглавие #6"/>
    <w:basedOn w:val="Normal"/>
    <w:link w:val="6"/>
    <w:rsid w:val="005355A8"/>
    <w:pPr>
      <w:widowControl w:val="0"/>
      <w:shd w:val="clear" w:color="auto" w:fill="FFFFFF"/>
      <w:spacing w:before="540" w:after="360" w:line="0" w:lineRule="atLeast"/>
      <w:jc w:val="both"/>
      <w:outlineLvl w:val="5"/>
    </w:pPr>
    <w:rPr>
      <w:rFonts w:asciiTheme="minorHAnsi" w:eastAsiaTheme="minorEastAsia" w:hAnsiTheme="minorHAnsi" w:cstheme="minorBidi"/>
      <w:sz w:val="23"/>
      <w:szCs w:val="23"/>
      <w:lang w:val="en-US" w:eastAsia="en-US"/>
    </w:rPr>
  </w:style>
  <w:style w:type="character" w:styleId="Hyperlink">
    <w:name w:val="Hyperlink"/>
    <w:uiPriority w:val="99"/>
    <w:unhideWhenUsed/>
    <w:rsid w:val="00D52B36"/>
    <w:rPr>
      <w:color w:val="0000FF"/>
      <w:u w:val="single"/>
    </w:rPr>
  </w:style>
  <w:style w:type="paragraph" w:styleId="NoSpacing">
    <w:name w:val="No Spacing"/>
    <w:uiPriority w:val="1"/>
    <w:qFormat/>
    <w:rsid w:val="00112753"/>
    <w:rPr>
      <w:rFonts w:ascii="Times New Roman" w:eastAsia="Times New Roman" w:hAnsi="Times New Roman" w:cs="Times New Roman"/>
      <w:lang w:val="bg-BG" w:eastAsia="bg-BG"/>
    </w:rPr>
  </w:style>
  <w:style w:type="table" w:styleId="TableGrid">
    <w:name w:val="Table Grid"/>
    <w:basedOn w:val="TableNormal"/>
    <w:uiPriority w:val="59"/>
    <w:rsid w:val="00C91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4E54B6"/>
    <w:pPr>
      <w:tabs>
        <w:tab w:val="center" w:pos="4320"/>
        <w:tab w:val="right" w:pos="8640"/>
      </w:tabs>
    </w:pPr>
  </w:style>
  <w:style w:type="character" w:customStyle="1" w:styleId="HeaderChar">
    <w:name w:val="Header Char"/>
    <w:basedOn w:val="DefaultParagraphFont"/>
    <w:link w:val="Header"/>
    <w:rsid w:val="004E54B6"/>
    <w:rPr>
      <w:rFonts w:ascii="Times New Roman" w:eastAsia="Times New Roman" w:hAnsi="Times New Roman" w:cs="Times New Roman"/>
      <w:lang w:val="bg-BG" w:eastAsia="bg-BG"/>
    </w:rPr>
  </w:style>
  <w:style w:type="paragraph" w:styleId="BalloonText">
    <w:name w:val="Balloon Text"/>
    <w:basedOn w:val="Normal"/>
    <w:link w:val="BalloonTextChar"/>
    <w:uiPriority w:val="99"/>
    <w:semiHidden/>
    <w:unhideWhenUsed/>
    <w:rsid w:val="004E54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4B6"/>
    <w:rPr>
      <w:rFonts w:ascii="Lucida Grande" w:eastAsia="Times New Roman" w:hAnsi="Lucida Grande" w:cs="Lucida Grande"/>
      <w:sz w:val="18"/>
      <w:szCs w:val="18"/>
      <w:lang w:val="bg-BG" w:eastAsia="bg-BG"/>
    </w:rPr>
  </w:style>
  <w:style w:type="paragraph" w:styleId="ListParagraph">
    <w:name w:val="List Paragraph"/>
    <w:basedOn w:val="Normal"/>
    <w:link w:val="ListParagraphChar"/>
    <w:qFormat/>
    <w:rsid w:val="004D5A25"/>
    <w:pPr>
      <w:ind w:left="720"/>
      <w:contextualSpacing/>
    </w:pPr>
  </w:style>
  <w:style w:type="character" w:customStyle="1" w:styleId="ListParagraphChar">
    <w:name w:val="List Paragraph Char"/>
    <w:link w:val="ListParagraph"/>
    <w:rsid w:val="00EF6AAA"/>
    <w:rPr>
      <w:rFonts w:ascii="Times New Roman" w:eastAsia="Times New Roman" w:hAnsi="Times New Roman" w:cs="Times New Roman"/>
      <w:lang w:val="bg-BG" w:eastAsia="bg-BG"/>
    </w:rPr>
  </w:style>
  <w:style w:type="character" w:customStyle="1" w:styleId="FontStyle11">
    <w:name w:val="Font Style11"/>
    <w:rsid w:val="00EB2803"/>
    <w:rPr>
      <w:rFonts w:ascii="Times New Roman" w:hAnsi="Times New Roman" w:cs="Times New Roman"/>
      <w:sz w:val="22"/>
      <w:szCs w:val="22"/>
    </w:rPr>
  </w:style>
  <w:style w:type="paragraph" w:customStyle="1" w:styleId="Style2">
    <w:name w:val="Style2"/>
    <w:basedOn w:val="Normal"/>
    <w:rsid w:val="00EB2803"/>
    <w:pPr>
      <w:widowControl w:val="0"/>
      <w:autoSpaceDE w:val="0"/>
      <w:autoSpaceDN w:val="0"/>
      <w:adjustRightInd w:val="0"/>
      <w:spacing w:line="276" w:lineRule="exact"/>
      <w:ind w:firstLine="706"/>
      <w:jc w:val="both"/>
    </w:pPr>
    <w:rPr>
      <w:rFonts w:eastAsia="MS Mincho"/>
      <w:lang w:val="en-US" w:eastAsia="en-US"/>
    </w:rPr>
  </w:style>
  <w:style w:type="paragraph" w:customStyle="1" w:styleId="Style1">
    <w:name w:val="Style1"/>
    <w:basedOn w:val="Normal"/>
    <w:rsid w:val="00EB2803"/>
    <w:pPr>
      <w:widowControl w:val="0"/>
      <w:autoSpaceDE w:val="0"/>
      <w:autoSpaceDN w:val="0"/>
      <w:adjustRightInd w:val="0"/>
      <w:spacing w:line="278" w:lineRule="exact"/>
      <w:ind w:hanging="341"/>
    </w:pPr>
    <w:rPr>
      <w:rFonts w:eastAsia="MS Mincho"/>
      <w:lang w:val="en-US" w:eastAsia="en-US"/>
    </w:rPr>
  </w:style>
  <w:style w:type="character" w:customStyle="1" w:styleId="Heading1Char">
    <w:name w:val="Heading 1 Char"/>
    <w:basedOn w:val="DefaultParagraphFont"/>
    <w:link w:val="Heading1"/>
    <w:rsid w:val="003060F6"/>
    <w:rPr>
      <w:rFonts w:asciiTheme="majorHAnsi" w:eastAsiaTheme="majorEastAsia" w:hAnsiTheme="majorHAnsi" w:cstheme="majorBidi"/>
      <w:b/>
      <w:bCs/>
      <w:color w:val="345A8A" w:themeColor="accent1" w:themeShade="B5"/>
      <w:sz w:val="32"/>
      <w:szCs w:val="32"/>
      <w:lang w:val="bg-BG" w:eastAsia="bg-BG"/>
    </w:rPr>
  </w:style>
  <w:style w:type="character" w:customStyle="1" w:styleId="Heading2Char">
    <w:name w:val="Heading 2 Char"/>
    <w:basedOn w:val="DefaultParagraphFont"/>
    <w:link w:val="Heading2"/>
    <w:uiPriority w:val="9"/>
    <w:rsid w:val="003060F6"/>
    <w:rPr>
      <w:rFonts w:asciiTheme="majorHAnsi" w:eastAsiaTheme="majorEastAsia" w:hAnsiTheme="majorHAnsi" w:cstheme="majorBidi"/>
      <w:b/>
      <w:bCs/>
      <w:color w:val="4F81BD" w:themeColor="accent1"/>
      <w:sz w:val="26"/>
      <w:szCs w:val="26"/>
      <w:lang w:val="bg-BG" w:eastAsia="bg-BG"/>
    </w:rPr>
  </w:style>
  <w:style w:type="paragraph" w:customStyle="1" w:styleId="Style">
    <w:name w:val="Style"/>
    <w:rsid w:val="003060F6"/>
    <w:pPr>
      <w:widowControl w:val="0"/>
      <w:autoSpaceDE w:val="0"/>
      <w:autoSpaceDN w:val="0"/>
      <w:adjustRightInd w:val="0"/>
      <w:ind w:left="140" w:right="140" w:firstLine="840"/>
      <w:jc w:val="both"/>
    </w:pPr>
    <w:rPr>
      <w:rFonts w:ascii="Times New Roman" w:eastAsia="Times New Roman" w:hAnsi="Times New Roman" w:cs="Times New Roman"/>
      <w:lang w:val="bg-BG" w:eastAsia="bg-BG"/>
    </w:rPr>
  </w:style>
  <w:style w:type="paragraph" w:customStyle="1" w:styleId="Application4">
    <w:name w:val="Application4"/>
    <w:basedOn w:val="Normal"/>
    <w:autoRedefine/>
    <w:rsid w:val="003060F6"/>
    <w:pPr>
      <w:widowControl w:val="0"/>
      <w:numPr>
        <w:numId w:val="8"/>
      </w:numPr>
      <w:spacing w:after="120"/>
      <w:ind w:left="0" w:firstLine="0"/>
      <w:jc w:val="both"/>
    </w:pPr>
    <w:rPr>
      <w:snapToGrid w:val="0"/>
      <w:spacing w:val="-2"/>
      <w:lang w:eastAsia="en-US"/>
    </w:rPr>
  </w:style>
  <w:style w:type="paragraph" w:customStyle="1" w:styleId="Svetlobullet">
    <w:name w:val="Svetlo_bullet"/>
    <w:basedOn w:val="Normal"/>
    <w:rsid w:val="003060F6"/>
    <w:pPr>
      <w:numPr>
        <w:numId w:val="10"/>
      </w:numPr>
      <w:spacing w:before="120" w:line="320" w:lineRule="exact"/>
      <w:jc w:val="both"/>
    </w:pPr>
  </w:style>
  <w:style w:type="character" w:customStyle="1" w:styleId="Heading4Char">
    <w:name w:val="Heading 4 Char"/>
    <w:basedOn w:val="DefaultParagraphFont"/>
    <w:link w:val="Heading4"/>
    <w:uiPriority w:val="9"/>
    <w:rsid w:val="00AF7157"/>
    <w:rPr>
      <w:rFonts w:asciiTheme="majorHAnsi" w:eastAsiaTheme="majorEastAsia" w:hAnsiTheme="majorHAnsi" w:cstheme="majorBidi"/>
      <w:b/>
      <w:bCs/>
      <w:i/>
      <w:iCs/>
      <w:color w:val="4F81BD" w:themeColor="accent1"/>
      <w:lang w:val="bg-BG" w:eastAsia="bg-BG"/>
    </w:rPr>
  </w:style>
  <w:style w:type="paragraph" w:styleId="TOC1">
    <w:name w:val="toc 1"/>
    <w:basedOn w:val="Normal"/>
    <w:next w:val="Normal"/>
    <w:autoRedefine/>
    <w:uiPriority w:val="39"/>
    <w:unhideWhenUsed/>
    <w:rsid w:val="00AF7157"/>
  </w:style>
  <w:style w:type="paragraph" w:styleId="TOC2">
    <w:name w:val="toc 2"/>
    <w:basedOn w:val="Normal"/>
    <w:next w:val="Normal"/>
    <w:autoRedefine/>
    <w:uiPriority w:val="39"/>
    <w:unhideWhenUsed/>
    <w:rsid w:val="00AF7157"/>
    <w:pPr>
      <w:ind w:left="240"/>
    </w:pPr>
  </w:style>
  <w:style w:type="paragraph" w:styleId="TOC3">
    <w:name w:val="toc 3"/>
    <w:basedOn w:val="Normal"/>
    <w:next w:val="Normal"/>
    <w:autoRedefine/>
    <w:uiPriority w:val="39"/>
    <w:unhideWhenUsed/>
    <w:rsid w:val="00AF7157"/>
    <w:pPr>
      <w:ind w:left="480"/>
    </w:pPr>
  </w:style>
  <w:style w:type="paragraph" w:styleId="TOC4">
    <w:name w:val="toc 4"/>
    <w:basedOn w:val="Normal"/>
    <w:next w:val="Normal"/>
    <w:autoRedefine/>
    <w:uiPriority w:val="39"/>
    <w:unhideWhenUsed/>
    <w:rsid w:val="00AF7157"/>
    <w:pPr>
      <w:ind w:left="720"/>
    </w:pPr>
  </w:style>
  <w:style w:type="paragraph" w:styleId="TOC5">
    <w:name w:val="toc 5"/>
    <w:basedOn w:val="Normal"/>
    <w:next w:val="Normal"/>
    <w:autoRedefine/>
    <w:uiPriority w:val="39"/>
    <w:unhideWhenUsed/>
    <w:rsid w:val="00AF7157"/>
    <w:pPr>
      <w:ind w:left="960"/>
    </w:pPr>
  </w:style>
  <w:style w:type="paragraph" w:styleId="TOC6">
    <w:name w:val="toc 6"/>
    <w:basedOn w:val="Normal"/>
    <w:next w:val="Normal"/>
    <w:autoRedefine/>
    <w:uiPriority w:val="39"/>
    <w:unhideWhenUsed/>
    <w:rsid w:val="00AF7157"/>
    <w:pPr>
      <w:ind w:left="1200"/>
    </w:pPr>
  </w:style>
  <w:style w:type="paragraph" w:styleId="TOC7">
    <w:name w:val="toc 7"/>
    <w:basedOn w:val="Normal"/>
    <w:next w:val="Normal"/>
    <w:autoRedefine/>
    <w:uiPriority w:val="39"/>
    <w:unhideWhenUsed/>
    <w:rsid w:val="00AF7157"/>
    <w:pPr>
      <w:ind w:left="1440"/>
    </w:pPr>
  </w:style>
  <w:style w:type="paragraph" w:styleId="TOC8">
    <w:name w:val="toc 8"/>
    <w:basedOn w:val="Normal"/>
    <w:next w:val="Normal"/>
    <w:autoRedefine/>
    <w:uiPriority w:val="39"/>
    <w:unhideWhenUsed/>
    <w:rsid w:val="00AF7157"/>
    <w:pPr>
      <w:ind w:left="1680"/>
    </w:pPr>
  </w:style>
  <w:style w:type="paragraph" w:styleId="TOC9">
    <w:name w:val="toc 9"/>
    <w:basedOn w:val="Normal"/>
    <w:next w:val="Normal"/>
    <w:autoRedefine/>
    <w:uiPriority w:val="39"/>
    <w:unhideWhenUsed/>
    <w:rsid w:val="00AF7157"/>
    <w:pPr>
      <w:ind w:left="1920"/>
    </w:pPr>
  </w:style>
  <w:style w:type="character" w:styleId="CommentReference">
    <w:name w:val="annotation reference"/>
    <w:basedOn w:val="DefaultParagraphFont"/>
    <w:uiPriority w:val="99"/>
    <w:semiHidden/>
    <w:unhideWhenUsed/>
    <w:rsid w:val="002C70EF"/>
    <w:rPr>
      <w:sz w:val="16"/>
      <w:szCs w:val="16"/>
    </w:rPr>
  </w:style>
  <w:style w:type="paragraph" w:styleId="CommentText">
    <w:name w:val="annotation text"/>
    <w:basedOn w:val="Normal"/>
    <w:link w:val="CommentTextChar"/>
    <w:uiPriority w:val="99"/>
    <w:semiHidden/>
    <w:unhideWhenUsed/>
    <w:rsid w:val="002C70EF"/>
    <w:rPr>
      <w:sz w:val="20"/>
      <w:szCs w:val="20"/>
    </w:rPr>
  </w:style>
  <w:style w:type="character" w:customStyle="1" w:styleId="CommentTextChar">
    <w:name w:val="Comment Text Char"/>
    <w:basedOn w:val="DefaultParagraphFont"/>
    <w:link w:val="CommentText"/>
    <w:uiPriority w:val="99"/>
    <w:semiHidden/>
    <w:rsid w:val="002C70EF"/>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2C70EF"/>
    <w:rPr>
      <w:b/>
      <w:bCs/>
    </w:rPr>
  </w:style>
  <w:style w:type="character" w:customStyle="1" w:styleId="CommentSubjectChar">
    <w:name w:val="Comment Subject Char"/>
    <w:basedOn w:val="CommentTextChar"/>
    <w:link w:val="CommentSubject"/>
    <w:uiPriority w:val="99"/>
    <w:semiHidden/>
    <w:rsid w:val="002C70EF"/>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A8"/>
    <w:rPr>
      <w:rFonts w:ascii="Times New Roman" w:eastAsia="Times New Roman" w:hAnsi="Times New Roman" w:cs="Times New Roman"/>
      <w:lang w:val="bg-BG" w:eastAsia="bg-BG"/>
    </w:rPr>
  </w:style>
  <w:style w:type="paragraph" w:styleId="Heading1">
    <w:name w:val="heading 1"/>
    <w:basedOn w:val="Normal"/>
    <w:next w:val="Normal"/>
    <w:link w:val="Heading1Char"/>
    <w:uiPriority w:val="9"/>
    <w:qFormat/>
    <w:rsid w:val="003060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06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355A8"/>
    <w:pPr>
      <w:keepNext/>
      <w:spacing w:before="240" w:after="60" w:line="276" w:lineRule="auto"/>
      <w:outlineLvl w:val="2"/>
    </w:pPr>
    <w:rPr>
      <w:rFonts w:ascii="Cambria" w:hAnsi="Cambria"/>
      <w:b/>
      <w:bCs/>
      <w:sz w:val="26"/>
      <w:szCs w:val="26"/>
      <w:lang w:eastAsia="en-US"/>
    </w:rPr>
  </w:style>
  <w:style w:type="paragraph" w:styleId="Heading4">
    <w:name w:val="heading 4"/>
    <w:basedOn w:val="Normal"/>
    <w:next w:val="Normal"/>
    <w:link w:val="Heading4Char"/>
    <w:uiPriority w:val="9"/>
    <w:unhideWhenUsed/>
    <w:qFormat/>
    <w:rsid w:val="00AF71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55A8"/>
    <w:rPr>
      <w:rFonts w:ascii="Cambria" w:eastAsia="Times New Roman" w:hAnsi="Cambria" w:cs="Times New Roman"/>
      <w:b/>
      <w:bCs/>
      <w:sz w:val="26"/>
      <w:szCs w:val="26"/>
      <w:lang w:val="bg-BG"/>
    </w:rPr>
  </w:style>
  <w:style w:type="paragraph" w:styleId="Footer">
    <w:name w:val="footer"/>
    <w:basedOn w:val="Normal"/>
    <w:link w:val="FooterChar"/>
    <w:uiPriority w:val="99"/>
    <w:rsid w:val="005355A8"/>
    <w:pPr>
      <w:tabs>
        <w:tab w:val="center" w:pos="4536"/>
        <w:tab w:val="right" w:pos="9072"/>
      </w:tabs>
    </w:pPr>
    <w:rPr>
      <w:lang w:val="x-none" w:eastAsia="x-none"/>
    </w:rPr>
  </w:style>
  <w:style w:type="character" w:customStyle="1" w:styleId="FooterChar">
    <w:name w:val="Footer Char"/>
    <w:basedOn w:val="DefaultParagraphFont"/>
    <w:link w:val="Footer"/>
    <w:uiPriority w:val="99"/>
    <w:rsid w:val="005355A8"/>
    <w:rPr>
      <w:rFonts w:ascii="Times New Roman" w:eastAsia="Times New Roman" w:hAnsi="Times New Roman" w:cs="Times New Roman"/>
      <w:lang w:val="x-none" w:eastAsia="x-none"/>
    </w:rPr>
  </w:style>
  <w:style w:type="paragraph" w:styleId="BodyText">
    <w:name w:val="Body Text"/>
    <w:aliases w:val="heading_txt,CV Body Text,bodytxy2,jtext,John1,One Page Summary,bt,Starbucks Body Text,heading3,3 indent,heading31,body text1,3 indent1,heading32,body text2,3 indent2,heading33,body text3,3 indent3,heading34,body text4,3 indent4,t"/>
    <w:basedOn w:val="Normal"/>
    <w:link w:val="BodyTextChar"/>
    <w:qFormat/>
    <w:rsid w:val="005355A8"/>
    <w:pPr>
      <w:spacing w:after="120"/>
    </w:pPr>
    <w:rPr>
      <w:lang w:val="x-none" w:eastAsia="x-none"/>
    </w:rPr>
  </w:style>
  <w:style w:type="character" w:customStyle="1" w:styleId="BodyTextChar">
    <w:name w:val="Body Text Char"/>
    <w:aliases w:val="heading_txt Char,CV Body Text Char,bodytxy2 Char,jtext Char,John1 Char,One Page Summary Char,bt Char,Starbucks Body Text Char,heading3 Char,3 indent Char,heading31 Char,body text1 Char,3 indent1 Char,heading32 Char,body text2 Char,t Char"/>
    <w:basedOn w:val="DefaultParagraphFont"/>
    <w:link w:val="BodyText"/>
    <w:rsid w:val="005355A8"/>
    <w:rPr>
      <w:rFonts w:ascii="Times New Roman" w:eastAsia="Times New Roman" w:hAnsi="Times New Roman" w:cs="Times New Roman"/>
      <w:lang w:val="x-none" w:eastAsia="x-none"/>
    </w:rPr>
  </w:style>
  <w:style w:type="paragraph" w:styleId="BodyText2">
    <w:name w:val="Body Text 2"/>
    <w:basedOn w:val="Normal"/>
    <w:link w:val="BodyText2Char"/>
    <w:rsid w:val="005355A8"/>
    <w:pPr>
      <w:spacing w:after="120" w:line="480" w:lineRule="auto"/>
    </w:pPr>
    <w:rPr>
      <w:lang w:val="x-none" w:eastAsia="x-none"/>
    </w:rPr>
  </w:style>
  <w:style w:type="character" w:customStyle="1" w:styleId="BodyText2Char">
    <w:name w:val="Body Text 2 Char"/>
    <w:basedOn w:val="DefaultParagraphFont"/>
    <w:link w:val="BodyText2"/>
    <w:rsid w:val="005355A8"/>
    <w:rPr>
      <w:rFonts w:ascii="Times New Roman" w:eastAsia="Times New Roman" w:hAnsi="Times New Roman" w:cs="Times New Roman"/>
      <w:lang w:val="x-none" w:eastAsia="x-none"/>
    </w:rPr>
  </w:style>
  <w:style w:type="paragraph" w:customStyle="1" w:styleId="Default">
    <w:name w:val="Default"/>
    <w:rsid w:val="005355A8"/>
    <w:pPr>
      <w:autoSpaceDE w:val="0"/>
      <w:autoSpaceDN w:val="0"/>
      <w:adjustRightInd w:val="0"/>
    </w:pPr>
    <w:rPr>
      <w:rFonts w:ascii="Times New Roman" w:eastAsia="Times New Roman" w:hAnsi="Times New Roman" w:cs="Times New Roman"/>
      <w:color w:val="000000"/>
      <w:lang w:val="bg-BG" w:eastAsia="bg-BG"/>
    </w:rPr>
  </w:style>
  <w:style w:type="character" w:styleId="Strong">
    <w:name w:val="Strong"/>
    <w:uiPriority w:val="22"/>
    <w:qFormat/>
    <w:rsid w:val="005355A8"/>
    <w:rPr>
      <w:rFonts w:ascii="Times New Roman" w:hAnsi="Times New Roman" w:cs="Times New Roman" w:hint="default"/>
      <w:b/>
      <w:bCs/>
    </w:rPr>
  </w:style>
  <w:style w:type="character" w:customStyle="1" w:styleId="6">
    <w:name w:val="Заглавие #6_"/>
    <w:link w:val="60"/>
    <w:rsid w:val="005355A8"/>
    <w:rPr>
      <w:sz w:val="23"/>
      <w:szCs w:val="23"/>
      <w:shd w:val="clear" w:color="auto" w:fill="FFFFFF"/>
    </w:rPr>
  </w:style>
  <w:style w:type="paragraph" w:customStyle="1" w:styleId="1">
    <w:name w:val="Основен текст1"/>
    <w:basedOn w:val="Normal"/>
    <w:rsid w:val="005355A8"/>
    <w:pPr>
      <w:widowControl w:val="0"/>
      <w:shd w:val="clear" w:color="auto" w:fill="FFFFFF"/>
      <w:spacing w:line="413" w:lineRule="exact"/>
      <w:ind w:hanging="780"/>
    </w:pPr>
    <w:rPr>
      <w:color w:val="000000"/>
      <w:sz w:val="23"/>
      <w:szCs w:val="23"/>
      <w:lang w:eastAsia="zh-CN"/>
    </w:rPr>
  </w:style>
  <w:style w:type="paragraph" w:customStyle="1" w:styleId="60">
    <w:name w:val="Заглавие #6"/>
    <w:basedOn w:val="Normal"/>
    <w:link w:val="6"/>
    <w:rsid w:val="005355A8"/>
    <w:pPr>
      <w:widowControl w:val="0"/>
      <w:shd w:val="clear" w:color="auto" w:fill="FFFFFF"/>
      <w:spacing w:before="540" w:after="360" w:line="0" w:lineRule="atLeast"/>
      <w:jc w:val="both"/>
      <w:outlineLvl w:val="5"/>
    </w:pPr>
    <w:rPr>
      <w:rFonts w:asciiTheme="minorHAnsi" w:eastAsiaTheme="minorEastAsia" w:hAnsiTheme="minorHAnsi" w:cstheme="minorBidi"/>
      <w:sz w:val="23"/>
      <w:szCs w:val="23"/>
      <w:lang w:val="en-US" w:eastAsia="en-US"/>
    </w:rPr>
  </w:style>
  <w:style w:type="character" w:styleId="Hyperlink">
    <w:name w:val="Hyperlink"/>
    <w:uiPriority w:val="99"/>
    <w:unhideWhenUsed/>
    <w:rsid w:val="00D52B36"/>
    <w:rPr>
      <w:color w:val="0000FF"/>
      <w:u w:val="single"/>
    </w:rPr>
  </w:style>
  <w:style w:type="paragraph" w:styleId="NoSpacing">
    <w:name w:val="No Spacing"/>
    <w:uiPriority w:val="1"/>
    <w:qFormat/>
    <w:rsid w:val="00112753"/>
    <w:rPr>
      <w:rFonts w:ascii="Times New Roman" w:eastAsia="Times New Roman" w:hAnsi="Times New Roman" w:cs="Times New Roman"/>
      <w:lang w:val="bg-BG" w:eastAsia="bg-BG"/>
    </w:rPr>
  </w:style>
  <w:style w:type="table" w:styleId="TableGrid">
    <w:name w:val="Table Grid"/>
    <w:basedOn w:val="TableNormal"/>
    <w:uiPriority w:val="59"/>
    <w:rsid w:val="00C91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4E54B6"/>
    <w:pPr>
      <w:tabs>
        <w:tab w:val="center" w:pos="4320"/>
        <w:tab w:val="right" w:pos="8640"/>
      </w:tabs>
    </w:pPr>
  </w:style>
  <w:style w:type="character" w:customStyle="1" w:styleId="HeaderChar">
    <w:name w:val="Header Char"/>
    <w:basedOn w:val="DefaultParagraphFont"/>
    <w:link w:val="Header"/>
    <w:rsid w:val="004E54B6"/>
    <w:rPr>
      <w:rFonts w:ascii="Times New Roman" w:eastAsia="Times New Roman" w:hAnsi="Times New Roman" w:cs="Times New Roman"/>
      <w:lang w:val="bg-BG" w:eastAsia="bg-BG"/>
    </w:rPr>
  </w:style>
  <w:style w:type="paragraph" w:styleId="BalloonText">
    <w:name w:val="Balloon Text"/>
    <w:basedOn w:val="Normal"/>
    <w:link w:val="BalloonTextChar"/>
    <w:uiPriority w:val="99"/>
    <w:semiHidden/>
    <w:unhideWhenUsed/>
    <w:rsid w:val="004E54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4B6"/>
    <w:rPr>
      <w:rFonts w:ascii="Lucida Grande" w:eastAsia="Times New Roman" w:hAnsi="Lucida Grande" w:cs="Lucida Grande"/>
      <w:sz w:val="18"/>
      <w:szCs w:val="18"/>
      <w:lang w:val="bg-BG" w:eastAsia="bg-BG"/>
    </w:rPr>
  </w:style>
  <w:style w:type="paragraph" w:styleId="ListParagraph">
    <w:name w:val="List Paragraph"/>
    <w:basedOn w:val="Normal"/>
    <w:link w:val="ListParagraphChar"/>
    <w:qFormat/>
    <w:rsid w:val="004D5A25"/>
    <w:pPr>
      <w:ind w:left="720"/>
      <w:contextualSpacing/>
    </w:pPr>
  </w:style>
  <w:style w:type="character" w:customStyle="1" w:styleId="ListParagraphChar">
    <w:name w:val="List Paragraph Char"/>
    <w:link w:val="ListParagraph"/>
    <w:rsid w:val="00EF6AAA"/>
    <w:rPr>
      <w:rFonts w:ascii="Times New Roman" w:eastAsia="Times New Roman" w:hAnsi="Times New Roman" w:cs="Times New Roman"/>
      <w:lang w:val="bg-BG" w:eastAsia="bg-BG"/>
    </w:rPr>
  </w:style>
  <w:style w:type="character" w:customStyle="1" w:styleId="FontStyle11">
    <w:name w:val="Font Style11"/>
    <w:rsid w:val="00EB2803"/>
    <w:rPr>
      <w:rFonts w:ascii="Times New Roman" w:hAnsi="Times New Roman" w:cs="Times New Roman"/>
      <w:sz w:val="22"/>
      <w:szCs w:val="22"/>
    </w:rPr>
  </w:style>
  <w:style w:type="paragraph" w:customStyle="1" w:styleId="Style2">
    <w:name w:val="Style2"/>
    <w:basedOn w:val="Normal"/>
    <w:rsid w:val="00EB2803"/>
    <w:pPr>
      <w:widowControl w:val="0"/>
      <w:autoSpaceDE w:val="0"/>
      <w:autoSpaceDN w:val="0"/>
      <w:adjustRightInd w:val="0"/>
      <w:spacing w:line="276" w:lineRule="exact"/>
      <w:ind w:firstLine="706"/>
      <w:jc w:val="both"/>
    </w:pPr>
    <w:rPr>
      <w:rFonts w:eastAsia="MS Mincho"/>
      <w:lang w:val="en-US" w:eastAsia="en-US"/>
    </w:rPr>
  </w:style>
  <w:style w:type="paragraph" w:customStyle="1" w:styleId="Style1">
    <w:name w:val="Style1"/>
    <w:basedOn w:val="Normal"/>
    <w:rsid w:val="00EB2803"/>
    <w:pPr>
      <w:widowControl w:val="0"/>
      <w:autoSpaceDE w:val="0"/>
      <w:autoSpaceDN w:val="0"/>
      <w:adjustRightInd w:val="0"/>
      <w:spacing w:line="278" w:lineRule="exact"/>
      <w:ind w:hanging="341"/>
    </w:pPr>
    <w:rPr>
      <w:rFonts w:eastAsia="MS Mincho"/>
      <w:lang w:val="en-US" w:eastAsia="en-US"/>
    </w:rPr>
  </w:style>
  <w:style w:type="character" w:customStyle="1" w:styleId="Heading1Char">
    <w:name w:val="Heading 1 Char"/>
    <w:basedOn w:val="DefaultParagraphFont"/>
    <w:link w:val="Heading1"/>
    <w:rsid w:val="003060F6"/>
    <w:rPr>
      <w:rFonts w:asciiTheme="majorHAnsi" w:eastAsiaTheme="majorEastAsia" w:hAnsiTheme="majorHAnsi" w:cstheme="majorBidi"/>
      <w:b/>
      <w:bCs/>
      <w:color w:val="345A8A" w:themeColor="accent1" w:themeShade="B5"/>
      <w:sz w:val="32"/>
      <w:szCs w:val="32"/>
      <w:lang w:val="bg-BG" w:eastAsia="bg-BG"/>
    </w:rPr>
  </w:style>
  <w:style w:type="character" w:customStyle="1" w:styleId="Heading2Char">
    <w:name w:val="Heading 2 Char"/>
    <w:basedOn w:val="DefaultParagraphFont"/>
    <w:link w:val="Heading2"/>
    <w:uiPriority w:val="9"/>
    <w:rsid w:val="003060F6"/>
    <w:rPr>
      <w:rFonts w:asciiTheme="majorHAnsi" w:eastAsiaTheme="majorEastAsia" w:hAnsiTheme="majorHAnsi" w:cstheme="majorBidi"/>
      <w:b/>
      <w:bCs/>
      <w:color w:val="4F81BD" w:themeColor="accent1"/>
      <w:sz w:val="26"/>
      <w:szCs w:val="26"/>
      <w:lang w:val="bg-BG" w:eastAsia="bg-BG"/>
    </w:rPr>
  </w:style>
  <w:style w:type="paragraph" w:customStyle="1" w:styleId="Style">
    <w:name w:val="Style"/>
    <w:rsid w:val="003060F6"/>
    <w:pPr>
      <w:widowControl w:val="0"/>
      <w:autoSpaceDE w:val="0"/>
      <w:autoSpaceDN w:val="0"/>
      <w:adjustRightInd w:val="0"/>
      <w:ind w:left="140" w:right="140" w:firstLine="840"/>
      <w:jc w:val="both"/>
    </w:pPr>
    <w:rPr>
      <w:rFonts w:ascii="Times New Roman" w:eastAsia="Times New Roman" w:hAnsi="Times New Roman" w:cs="Times New Roman"/>
      <w:lang w:val="bg-BG" w:eastAsia="bg-BG"/>
    </w:rPr>
  </w:style>
  <w:style w:type="paragraph" w:customStyle="1" w:styleId="Application4">
    <w:name w:val="Application4"/>
    <w:basedOn w:val="Normal"/>
    <w:autoRedefine/>
    <w:rsid w:val="003060F6"/>
    <w:pPr>
      <w:widowControl w:val="0"/>
      <w:numPr>
        <w:numId w:val="8"/>
      </w:numPr>
      <w:spacing w:after="120"/>
      <w:ind w:left="0" w:firstLine="0"/>
      <w:jc w:val="both"/>
    </w:pPr>
    <w:rPr>
      <w:snapToGrid w:val="0"/>
      <w:spacing w:val="-2"/>
      <w:lang w:eastAsia="en-US"/>
    </w:rPr>
  </w:style>
  <w:style w:type="paragraph" w:customStyle="1" w:styleId="Svetlobullet">
    <w:name w:val="Svetlo_bullet"/>
    <w:basedOn w:val="Normal"/>
    <w:rsid w:val="003060F6"/>
    <w:pPr>
      <w:numPr>
        <w:numId w:val="10"/>
      </w:numPr>
      <w:spacing w:before="120" w:line="320" w:lineRule="exact"/>
      <w:jc w:val="both"/>
    </w:pPr>
  </w:style>
  <w:style w:type="character" w:customStyle="1" w:styleId="Heading4Char">
    <w:name w:val="Heading 4 Char"/>
    <w:basedOn w:val="DefaultParagraphFont"/>
    <w:link w:val="Heading4"/>
    <w:uiPriority w:val="9"/>
    <w:rsid w:val="00AF7157"/>
    <w:rPr>
      <w:rFonts w:asciiTheme="majorHAnsi" w:eastAsiaTheme="majorEastAsia" w:hAnsiTheme="majorHAnsi" w:cstheme="majorBidi"/>
      <w:b/>
      <w:bCs/>
      <w:i/>
      <w:iCs/>
      <w:color w:val="4F81BD" w:themeColor="accent1"/>
      <w:lang w:val="bg-BG" w:eastAsia="bg-BG"/>
    </w:rPr>
  </w:style>
  <w:style w:type="paragraph" w:styleId="TOC1">
    <w:name w:val="toc 1"/>
    <w:basedOn w:val="Normal"/>
    <w:next w:val="Normal"/>
    <w:autoRedefine/>
    <w:uiPriority w:val="39"/>
    <w:unhideWhenUsed/>
    <w:rsid w:val="00AF7157"/>
  </w:style>
  <w:style w:type="paragraph" w:styleId="TOC2">
    <w:name w:val="toc 2"/>
    <w:basedOn w:val="Normal"/>
    <w:next w:val="Normal"/>
    <w:autoRedefine/>
    <w:uiPriority w:val="39"/>
    <w:unhideWhenUsed/>
    <w:rsid w:val="00AF7157"/>
    <w:pPr>
      <w:ind w:left="240"/>
    </w:pPr>
  </w:style>
  <w:style w:type="paragraph" w:styleId="TOC3">
    <w:name w:val="toc 3"/>
    <w:basedOn w:val="Normal"/>
    <w:next w:val="Normal"/>
    <w:autoRedefine/>
    <w:uiPriority w:val="39"/>
    <w:unhideWhenUsed/>
    <w:rsid w:val="00AF7157"/>
    <w:pPr>
      <w:ind w:left="480"/>
    </w:pPr>
  </w:style>
  <w:style w:type="paragraph" w:styleId="TOC4">
    <w:name w:val="toc 4"/>
    <w:basedOn w:val="Normal"/>
    <w:next w:val="Normal"/>
    <w:autoRedefine/>
    <w:uiPriority w:val="39"/>
    <w:unhideWhenUsed/>
    <w:rsid w:val="00AF7157"/>
    <w:pPr>
      <w:ind w:left="720"/>
    </w:pPr>
  </w:style>
  <w:style w:type="paragraph" w:styleId="TOC5">
    <w:name w:val="toc 5"/>
    <w:basedOn w:val="Normal"/>
    <w:next w:val="Normal"/>
    <w:autoRedefine/>
    <w:uiPriority w:val="39"/>
    <w:unhideWhenUsed/>
    <w:rsid w:val="00AF7157"/>
    <w:pPr>
      <w:ind w:left="960"/>
    </w:pPr>
  </w:style>
  <w:style w:type="paragraph" w:styleId="TOC6">
    <w:name w:val="toc 6"/>
    <w:basedOn w:val="Normal"/>
    <w:next w:val="Normal"/>
    <w:autoRedefine/>
    <w:uiPriority w:val="39"/>
    <w:unhideWhenUsed/>
    <w:rsid w:val="00AF7157"/>
    <w:pPr>
      <w:ind w:left="1200"/>
    </w:pPr>
  </w:style>
  <w:style w:type="paragraph" w:styleId="TOC7">
    <w:name w:val="toc 7"/>
    <w:basedOn w:val="Normal"/>
    <w:next w:val="Normal"/>
    <w:autoRedefine/>
    <w:uiPriority w:val="39"/>
    <w:unhideWhenUsed/>
    <w:rsid w:val="00AF7157"/>
    <w:pPr>
      <w:ind w:left="1440"/>
    </w:pPr>
  </w:style>
  <w:style w:type="paragraph" w:styleId="TOC8">
    <w:name w:val="toc 8"/>
    <w:basedOn w:val="Normal"/>
    <w:next w:val="Normal"/>
    <w:autoRedefine/>
    <w:uiPriority w:val="39"/>
    <w:unhideWhenUsed/>
    <w:rsid w:val="00AF7157"/>
    <w:pPr>
      <w:ind w:left="1680"/>
    </w:pPr>
  </w:style>
  <w:style w:type="paragraph" w:styleId="TOC9">
    <w:name w:val="toc 9"/>
    <w:basedOn w:val="Normal"/>
    <w:next w:val="Normal"/>
    <w:autoRedefine/>
    <w:uiPriority w:val="39"/>
    <w:unhideWhenUsed/>
    <w:rsid w:val="00AF7157"/>
    <w:pPr>
      <w:ind w:left="1920"/>
    </w:pPr>
  </w:style>
  <w:style w:type="character" w:styleId="CommentReference">
    <w:name w:val="annotation reference"/>
    <w:basedOn w:val="DefaultParagraphFont"/>
    <w:uiPriority w:val="99"/>
    <w:semiHidden/>
    <w:unhideWhenUsed/>
    <w:rsid w:val="002C70EF"/>
    <w:rPr>
      <w:sz w:val="16"/>
      <w:szCs w:val="16"/>
    </w:rPr>
  </w:style>
  <w:style w:type="paragraph" w:styleId="CommentText">
    <w:name w:val="annotation text"/>
    <w:basedOn w:val="Normal"/>
    <w:link w:val="CommentTextChar"/>
    <w:uiPriority w:val="99"/>
    <w:semiHidden/>
    <w:unhideWhenUsed/>
    <w:rsid w:val="002C70EF"/>
    <w:rPr>
      <w:sz w:val="20"/>
      <w:szCs w:val="20"/>
    </w:rPr>
  </w:style>
  <w:style w:type="character" w:customStyle="1" w:styleId="CommentTextChar">
    <w:name w:val="Comment Text Char"/>
    <w:basedOn w:val="DefaultParagraphFont"/>
    <w:link w:val="CommentText"/>
    <w:uiPriority w:val="99"/>
    <w:semiHidden/>
    <w:rsid w:val="002C70EF"/>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2C70EF"/>
    <w:rPr>
      <w:b/>
      <w:bCs/>
    </w:rPr>
  </w:style>
  <w:style w:type="character" w:customStyle="1" w:styleId="CommentSubjectChar">
    <w:name w:val="Comment Subject Char"/>
    <w:basedOn w:val="CommentTextChar"/>
    <w:link w:val="CommentSubject"/>
    <w:uiPriority w:val="99"/>
    <w:semiHidden/>
    <w:rsid w:val="002C70EF"/>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837438">
      <w:bodyDiv w:val="1"/>
      <w:marLeft w:val="0"/>
      <w:marRight w:val="0"/>
      <w:marTop w:val="0"/>
      <w:marBottom w:val="0"/>
      <w:divBdr>
        <w:top w:val="none" w:sz="0" w:space="0" w:color="auto"/>
        <w:left w:val="none" w:sz="0" w:space="0" w:color="auto"/>
        <w:bottom w:val="none" w:sz="0" w:space="0" w:color="auto"/>
        <w:right w:val="none" w:sz="0" w:space="0" w:color="auto"/>
      </w:divBdr>
    </w:div>
    <w:div w:id="2003846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pac.government.bg" TargetMode="External"/><Relationship Id="rId4" Type="http://schemas.microsoft.com/office/2007/relationships/stylesWithEffects" Target="stylesWithEffects.xml"/><Relationship Id="rId9" Type="http://schemas.openxmlformats.org/officeDocument/2006/relationships/hyperlink" Target="http://www.opac.government.b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3A83C-A7CF-45D3-A095-A0173E0F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4785</Words>
  <Characters>27279</Characters>
  <Application>Microsoft Office Word</Application>
  <DocSecurity>0</DocSecurity>
  <Lines>227</Lines>
  <Paragraphs>63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 Iordanova</dc:creator>
  <cp:lastModifiedBy>Violeta Dzhukelova</cp:lastModifiedBy>
  <cp:revision>10</cp:revision>
  <cp:lastPrinted>2014-08-14T11:11:00Z</cp:lastPrinted>
  <dcterms:created xsi:type="dcterms:W3CDTF">2014-11-19T10:13:00Z</dcterms:created>
  <dcterms:modified xsi:type="dcterms:W3CDTF">2015-01-13T08:38:00Z</dcterms:modified>
</cp:coreProperties>
</file>