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D5FB1" w14:textId="77777777" w:rsidR="00E12EA4" w:rsidRPr="00966C39" w:rsidRDefault="00E12EA4" w:rsidP="00E12E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66C39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№1 </w:t>
      </w:r>
    </w:p>
    <w:p w14:paraId="1BCCC58C" w14:textId="77777777" w:rsidR="00E12EA4" w:rsidRDefault="00E12EA4" w:rsidP="00E12E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66C39">
        <w:rPr>
          <w:rFonts w:ascii="Times New Roman" w:hAnsi="Times New Roman" w:cs="Times New Roman"/>
          <w:b/>
          <w:i/>
          <w:sz w:val="24"/>
          <w:szCs w:val="24"/>
        </w:rPr>
        <w:t xml:space="preserve">Обособена позиция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14:paraId="19C340D6" w14:textId="77777777" w:rsidR="00E12EA4" w:rsidRDefault="00E12EA4" w:rsidP="00E12E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29B1553" w14:textId="77777777" w:rsidR="00E12EA4" w:rsidRDefault="00E12EA4" w:rsidP="00E12EA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28E0B36" w14:textId="77777777" w:rsidR="002B6657" w:rsidRPr="00D12C16" w:rsidRDefault="002B6657" w:rsidP="002B6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2C16">
        <w:rPr>
          <w:rFonts w:ascii="Times New Roman" w:hAnsi="Times New Roman" w:cs="Times New Roman"/>
          <w:b/>
          <w:sz w:val="24"/>
          <w:szCs w:val="24"/>
        </w:rPr>
        <w:t xml:space="preserve">ТЕХНИЧЕСКА СПЕЦИФИКАЦИЯ ПО ОБОСОБЕНА ПОЗИЦИЯ 5: </w:t>
      </w:r>
      <w:r w:rsidRPr="00D264BE">
        <w:rPr>
          <w:rFonts w:ascii="Times New Roman" w:hAnsi="Times New Roman" w:cs="Times New Roman"/>
          <w:b/>
          <w:sz w:val="24"/>
          <w:szCs w:val="24"/>
        </w:rPr>
        <w:t>„РАЗРАБОТВАНЕ НА ИЗСЛЕДВАНЕ ЗА ПЕРСПЕКТИВИТЕ ЗА ВНЕДРЯВАНЕ</w:t>
      </w:r>
      <w:r w:rsidR="00D12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C16">
        <w:rPr>
          <w:rFonts w:ascii="Times New Roman" w:hAnsi="Times New Roman" w:cs="Times New Roman"/>
          <w:b/>
          <w:sz w:val="24"/>
          <w:szCs w:val="24"/>
        </w:rPr>
        <w:t>НА ОБЩАТА РАМКА ЗА ОЦЕНКА (CAF) В БЪЛГАРИЯ“</w:t>
      </w:r>
    </w:p>
    <w:p w14:paraId="5E50EC69" w14:textId="77777777" w:rsidR="002B6657" w:rsidRPr="00D264BE" w:rsidRDefault="002B6657" w:rsidP="002B6657">
      <w:pPr>
        <w:shd w:val="clear" w:color="auto" w:fill="548DD4" w:themeFill="text2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C16">
        <w:rPr>
          <w:rFonts w:ascii="Times New Roman" w:hAnsi="Times New Roman" w:cs="Times New Roman"/>
          <w:b/>
          <w:sz w:val="24"/>
          <w:szCs w:val="24"/>
        </w:rPr>
        <w:t>I. Предмет на поръчката по Обособена позиция 5</w:t>
      </w:r>
    </w:p>
    <w:p w14:paraId="618A5128" w14:textId="77777777" w:rsidR="002B6657" w:rsidRPr="007A3BB9" w:rsidRDefault="002B6657" w:rsidP="002B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264BE">
        <w:rPr>
          <w:rFonts w:ascii="Times New Roman" w:hAnsi="Times New Roman" w:cs="Times New Roman"/>
          <w:sz w:val="24"/>
          <w:szCs w:val="24"/>
        </w:rPr>
        <w:t xml:space="preserve">Предметът на обособена позиция № 5 е </w:t>
      </w:r>
      <w:r w:rsidRPr="005704AC">
        <w:rPr>
          <w:rFonts w:ascii="Times New Roman" w:hAnsi="Times New Roman" w:cs="Times New Roman"/>
          <w:b/>
          <w:sz w:val="24"/>
          <w:szCs w:val="24"/>
        </w:rPr>
        <w:t>„Разработване на Изследване за перспективите за внедряване на Общата рамка за оценка (CAF) в България”.</w:t>
      </w:r>
    </w:p>
    <w:p w14:paraId="125863A5" w14:textId="77777777" w:rsidR="002B6657" w:rsidRPr="007A3BB9" w:rsidRDefault="002B6657" w:rsidP="002B6657">
      <w:pPr>
        <w:shd w:val="clear" w:color="auto" w:fill="548DD4" w:themeFill="text2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B9">
        <w:rPr>
          <w:rFonts w:ascii="Times New Roman" w:hAnsi="Times New Roman" w:cs="Times New Roman"/>
          <w:b/>
          <w:sz w:val="24"/>
          <w:szCs w:val="24"/>
        </w:rPr>
        <w:t xml:space="preserve">II. Информация за източника на финансиране по </w:t>
      </w:r>
      <w:r w:rsidR="00D57971">
        <w:rPr>
          <w:rFonts w:ascii="Times New Roman" w:hAnsi="Times New Roman" w:cs="Times New Roman"/>
          <w:b/>
          <w:sz w:val="24"/>
          <w:szCs w:val="24"/>
        </w:rPr>
        <w:t>О</w:t>
      </w:r>
      <w:r w:rsidRPr="007A3BB9">
        <w:rPr>
          <w:rFonts w:ascii="Times New Roman" w:hAnsi="Times New Roman" w:cs="Times New Roman"/>
          <w:b/>
          <w:sz w:val="24"/>
          <w:szCs w:val="24"/>
        </w:rPr>
        <w:t>бособена позиция 5</w:t>
      </w:r>
    </w:p>
    <w:p w14:paraId="63F36AEF" w14:textId="77777777" w:rsidR="00E12EA4" w:rsidRPr="00CA0175" w:rsidRDefault="002B6657" w:rsidP="00E12EA4">
      <w:pPr>
        <w:jc w:val="both"/>
        <w:rPr>
          <w:rFonts w:ascii="Times New Roman" w:hAnsi="Times New Roman" w:cs="Times New Roman"/>
          <w:sz w:val="24"/>
          <w:szCs w:val="24"/>
        </w:rPr>
      </w:pPr>
      <w:r w:rsidRPr="00ED05BA">
        <w:rPr>
          <w:rFonts w:ascii="Times New Roman" w:hAnsi="Times New Roman" w:cs="Times New Roman"/>
          <w:sz w:val="24"/>
          <w:szCs w:val="24"/>
        </w:rPr>
        <w:t xml:space="preserve">Обособена позиция № 5 „Разработване на Изследване за перспективите за внедряване на Общата рамка за оценка (CAF) в България“ е рамките на Дейност 5 на проект </w:t>
      </w:r>
      <w:r w:rsidR="00E12EA4" w:rsidRPr="00CA0175">
        <w:rPr>
          <w:rFonts w:ascii="Times New Roman" w:hAnsi="Times New Roman" w:cs="Times New Roman"/>
          <w:sz w:val="24"/>
          <w:szCs w:val="24"/>
        </w:rPr>
        <w:t>на проект с номер на договор за безвъзмездна финансова помощ BG05SFOP001-2.00</w:t>
      </w:r>
      <w:r w:rsidR="00E12EA4">
        <w:rPr>
          <w:rFonts w:ascii="Times New Roman" w:hAnsi="Times New Roman" w:cs="Times New Roman"/>
          <w:sz w:val="24"/>
          <w:szCs w:val="24"/>
        </w:rPr>
        <w:t>2</w:t>
      </w:r>
      <w:r w:rsidR="00E12EA4" w:rsidRPr="00CA0175">
        <w:rPr>
          <w:rFonts w:ascii="Times New Roman" w:hAnsi="Times New Roman" w:cs="Times New Roman"/>
          <w:sz w:val="24"/>
          <w:szCs w:val="24"/>
        </w:rPr>
        <w:t>-000</w:t>
      </w:r>
      <w:r w:rsidR="00E12EA4">
        <w:rPr>
          <w:rFonts w:ascii="Times New Roman" w:hAnsi="Times New Roman" w:cs="Times New Roman"/>
          <w:sz w:val="24"/>
          <w:szCs w:val="24"/>
        </w:rPr>
        <w:t>1</w:t>
      </w:r>
      <w:r w:rsidR="00E12EA4" w:rsidRPr="00CA0175">
        <w:rPr>
          <w:rFonts w:ascii="Times New Roman" w:hAnsi="Times New Roman" w:cs="Times New Roman"/>
          <w:sz w:val="24"/>
          <w:szCs w:val="24"/>
        </w:rPr>
        <w:t>-C01 и наименование</w:t>
      </w:r>
      <w:r w:rsidR="00E12EA4">
        <w:rPr>
          <w:rFonts w:ascii="Times New Roman" w:hAnsi="Times New Roman" w:cs="Times New Roman"/>
          <w:sz w:val="24"/>
          <w:szCs w:val="24"/>
        </w:rPr>
        <w:t xml:space="preserve"> </w:t>
      </w:r>
      <w:r w:rsidRPr="00ED05BA">
        <w:rPr>
          <w:rFonts w:ascii="Times New Roman" w:hAnsi="Times New Roman" w:cs="Times New Roman"/>
          <w:sz w:val="24"/>
          <w:szCs w:val="24"/>
        </w:rPr>
        <w:t>„Въвеждане на Общата рамка за оценка (CAF) в администрациите“</w:t>
      </w:r>
      <w:r w:rsidR="00E12EA4">
        <w:rPr>
          <w:rFonts w:ascii="Times New Roman" w:hAnsi="Times New Roman" w:cs="Times New Roman"/>
          <w:sz w:val="24"/>
          <w:szCs w:val="24"/>
        </w:rPr>
        <w:t xml:space="preserve">. </w:t>
      </w:r>
      <w:r w:rsidR="00E12EA4" w:rsidRPr="00CA0175">
        <w:rPr>
          <w:rFonts w:ascii="Times New Roman" w:hAnsi="Times New Roman" w:cs="Times New Roman"/>
          <w:sz w:val="24"/>
          <w:szCs w:val="24"/>
        </w:rPr>
        <w:t>Проектът се финансира от Оперативна програма „Добро управление“, съфинансирана от Европейския съюз чрез Европейския социален фонд</w:t>
      </w:r>
      <w:r w:rsidR="00E12EA4">
        <w:rPr>
          <w:rFonts w:ascii="Times New Roman" w:hAnsi="Times New Roman" w:cs="Times New Roman"/>
          <w:sz w:val="24"/>
          <w:szCs w:val="24"/>
        </w:rPr>
        <w:t>.</w:t>
      </w:r>
    </w:p>
    <w:p w14:paraId="0C5A434C" w14:textId="77777777" w:rsidR="002B6657" w:rsidRPr="00CA0175" w:rsidRDefault="002B6657" w:rsidP="002B6657">
      <w:pPr>
        <w:shd w:val="clear" w:color="auto" w:fill="548DD4" w:themeFill="text2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75">
        <w:rPr>
          <w:rFonts w:ascii="Times New Roman" w:hAnsi="Times New Roman" w:cs="Times New Roman"/>
          <w:b/>
          <w:sz w:val="24"/>
          <w:szCs w:val="24"/>
        </w:rPr>
        <w:t xml:space="preserve">III. Максимална прогнозна стойност по </w:t>
      </w:r>
      <w:r w:rsidR="00DD4519">
        <w:rPr>
          <w:rFonts w:ascii="Times New Roman" w:hAnsi="Times New Roman" w:cs="Times New Roman"/>
          <w:b/>
          <w:sz w:val="24"/>
          <w:szCs w:val="24"/>
        </w:rPr>
        <w:t>О</w:t>
      </w:r>
      <w:r w:rsidRPr="00CA0175">
        <w:rPr>
          <w:rFonts w:ascii="Times New Roman" w:hAnsi="Times New Roman" w:cs="Times New Roman"/>
          <w:b/>
          <w:sz w:val="24"/>
          <w:szCs w:val="24"/>
        </w:rPr>
        <w:t xml:space="preserve">бособена позиция </w:t>
      </w:r>
      <w:r w:rsidR="004D47C1">
        <w:rPr>
          <w:rFonts w:ascii="Times New Roman" w:hAnsi="Times New Roman" w:cs="Times New Roman"/>
          <w:b/>
          <w:sz w:val="24"/>
          <w:szCs w:val="24"/>
        </w:rPr>
        <w:t>5</w:t>
      </w:r>
    </w:p>
    <w:p w14:paraId="7DD4605F" w14:textId="77777777" w:rsidR="002B6657" w:rsidRPr="00CA0175" w:rsidRDefault="002B6657" w:rsidP="002B6657">
      <w:pPr>
        <w:jc w:val="both"/>
        <w:rPr>
          <w:rFonts w:ascii="Times New Roman" w:hAnsi="Times New Roman" w:cs="Times New Roman"/>
          <w:sz w:val="24"/>
          <w:szCs w:val="24"/>
        </w:rPr>
      </w:pPr>
      <w:r w:rsidRPr="00CA0175">
        <w:rPr>
          <w:rFonts w:ascii="Times New Roman" w:hAnsi="Times New Roman" w:cs="Times New Roman"/>
          <w:sz w:val="24"/>
          <w:szCs w:val="24"/>
        </w:rPr>
        <w:t>Прогнозната стойност по обособена позиция № 5 е 12 500 (дванадесет хиляди и петстотин) лева без ДДС. Определената прогнозна стойност се явява максимално допустима (максимален бюджет) по обособената позиция.</w:t>
      </w:r>
    </w:p>
    <w:p w14:paraId="57820B54" w14:textId="77777777" w:rsidR="002B6657" w:rsidRPr="00CA0175" w:rsidRDefault="002B6657" w:rsidP="002B6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75">
        <w:rPr>
          <w:rFonts w:ascii="Times New Roman" w:hAnsi="Times New Roman" w:cs="Times New Roman"/>
          <w:b/>
          <w:sz w:val="24"/>
          <w:szCs w:val="24"/>
        </w:rPr>
        <w:t>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14:paraId="32F9883B" w14:textId="77777777" w:rsidR="002B6657" w:rsidRPr="00CA0175" w:rsidRDefault="002B6657" w:rsidP="002B6657">
      <w:pPr>
        <w:shd w:val="clear" w:color="auto" w:fill="548DD4" w:themeFill="text2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75">
        <w:rPr>
          <w:rFonts w:ascii="Times New Roman" w:hAnsi="Times New Roman" w:cs="Times New Roman"/>
          <w:b/>
          <w:sz w:val="24"/>
          <w:szCs w:val="24"/>
        </w:rPr>
        <w:t>IV.</w:t>
      </w:r>
      <w:r w:rsidRPr="00CA0175">
        <w:rPr>
          <w:rFonts w:ascii="Times New Roman" w:hAnsi="Times New Roman" w:cs="Times New Roman"/>
          <w:b/>
          <w:sz w:val="24"/>
          <w:szCs w:val="24"/>
        </w:rPr>
        <w:tab/>
        <w:t>Изисквания към изпълнението на поръчката</w:t>
      </w:r>
      <w:r w:rsidR="004D47C1" w:rsidRPr="004D47C1">
        <w:t xml:space="preserve"> </w:t>
      </w:r>
      <w:r w:rsidR="004D47C1" w:rsidRPr="004D47C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57971">
        <w:rPr>
          <w:rFonts w:ascii="Times New Roman" w:hAnsi="Times New Roman" w:cs="Times New Roman"/>
          <w:b/>
          <w:sz w:val="24"/>
          <w:szCs w:val="24"/>
        </w:rPr>
        <w:t>О</w:t>
      </w:r>
      <w:r w:rsidR="004D47C1" w:rsidRPr="004D47C1">
        <w:rPr>
          <w:rFonts w:ascii="Times New Roman" w:hAnsi="Times New Roman" w:cs="Times New Roman"/>
          <w:b/>
          <w:sz w:val="24"/>
          <w:szCs w:val="24"/>
        </w:rPr>
        <w:t>бособена позиция 5</w:t>
      </w:r>
    </w:p>
    <w:p w14:paraId="29EC1CCC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Изпълнението на обособена позиция № 5 трябва да включва минимум следните дейности:</w:t>
      </w:r>
    </w:p>
    <w:p w14:paraId="62197E05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0483B3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Дейност 1</w:t>
      </w: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Разработване на самостоятелно Изследване, включващо анализ и обобщение на постигнатите резултати от внедряването на CAF в целевите администрации по проект „Въвеждане на Общата рамка за оценка (CAF).</w:t>
      </w:r>
    </w:p>
    <w:p w14:paraId="533D237F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87A530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Изпълнителят следва да познава и ползва за целите на изпълнението списъка от 48-те целеви администрации, както и инструмента за цялостно управление на качеството Общата рамка за оценка (CAF). Списъкът е публичен и е наличен на сайта на Възложителя, както и описанието на инструмента.</w:t>
      </w:r>
    </w:p>
    <w:p w14:paraId="4DD90B69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7A76B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извършването на анализа, Изпълнителя следва да използва количествени и качествени методи, преглед на изготвени документи от целевите администрации, по време на внедряването на Общата рамка за оценка. Изпълнителят трябва да направи анализ на развитието на процеса в целевите администрации, въз основа на предварително изготвен оценъчен лист/въпросник, както и да обобщи постигнатите резултати от въвеждането на модела. Изпълнителят съгласува и дава за предварително одобрение оценъчния лист/въпросник на възложителя.</w:t>
      </w:r>
    </w:p>
    <w:p w14:paraId="46FE7968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8453D7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Дейност 2</w:t>
      </w: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Анализ и проучване на перспективите и нагласите на публичните институции и организации в България до 2020 г. относно внедряване на европейския модел за качество CAF.</w:t>
      </w:r>
    </w:p>
    <w:p w14:paraId="0E911668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54934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Обхватът на Дейност 2 следва да включва институции и организации на централно, областно и общинско ниво, където да бъде определена степента на познаване на европейския модел за качество CAF след стартирането на Проекта, и въз основа на оценка на неговите</w:t>
      </w:r>
      <w:r w:rsidRPr="00CA0175">
        <w:rPr>
          <w:rFonts w:ascii="Arial" w:eastAsia="Times New Roman" w:hAnsi="Arial" w:cs="Arial"/>
          <w:color w:val="000000"/>
          <w:lang w:eastAsia="bg-BG"/>
        </w:rPr>
        <w:t xml:space="preserve"> </w:t>
      </w: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 фактори, ползи и предимства, да се проучат нагласите чрез ситуационен и SWOT анализ за внедряването му. Изпълнителят следва да познава разработената по проекта Комуникационна стратегия за популяризиране на CAF, която Възложителя ще предостави на Изпълнителя.</w:t>
      </w:r>
    </w:p>
    <w:p w14:paraId="1EA63D4A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89FAD9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Дейност 3</w:t>
      </w: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Идентифициране на степента на готовност на отделни структури, в различни сфери, за въвеждане на цялостната система за управление на качеството.</w:t>
      </w:r>
    </w:p>
    <w:p w14:paraId="4A695529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F4E92D" w14:textId="77777777" w:rsidR="002B6657" w:rsidRPr="00D12C16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175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промените в Закона за администрацията (ДВ, бр. 85 от 2017 г.) бе въведен принципът за непрекъснато усъвършенстване на качеството (чл. 2, ал. 1, т. 8), както и</w:t>
      </w:r>
      <w:r w:rsidR="00D12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A0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ангажиментът на администрацията да осъществява цялостно управление на качеството на дейността </w:t>
      </w:r>
      <w:r w:rsidRPr="00D12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 за ефективно и ефикасно постигане на стратегическите и ежегодните си цели, включително чрез системи за управление на качеството (чл. 64). </w:t>
      </w:r>
    </w:p>
    <w:p w14:paraId="5FA230AC" w14:textId="77777777" w:rsidR="002B6657" w:rsidRPr="00D12C16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C3221B4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следва да подбере минимум по 2 структури от 28-те области в страната, в които да бъде документирана степента на готовност за въвеждането на системи за управление на качеството. Изпълнителят следва да проведе интервюта сред различните </w:t>
      </w:r>
      <w:r w:rsidRPr="00D12C1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нива (управленско/експертно) в организациите, идентифицирайки възможните заплахи и пречки, както и препоръки за преодоляването им.</w:t>
      </w:r>
    </w:p>
    <w:p w14:paraId="5A43F3D2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ED9BD2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Дейност 4</w:t>
      </w: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Идентифициране на заинтересованите страни в този процес.</w:t>
      </w:r>
    </w:p>
    <w:p w14:paraId="657FD401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508FF" w14:textId="77777777" w:rsidR="002B6657" w:rsidRPr="00E313EF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Изпълнителят следва да идентифицира заинтересованите страни за </w:t>
      </w:r>
      <w:proofErr w:type="spellStart"/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последващо</w:t>
      </w:r>
      <w:proofErr w:type="spellEnd"/>
      <w:r w:rsidRPr="00E31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въвеждане на Общата рамка за оценка (CAF), след изпълнение на Дейност 2, като създаде база данни, съдържаща минимум наименование на организацията, имейл адреси за кореспонденция и телефон за връзка.</w:t>
      </w:r>
    </w:p>
    <w:p w14:paraId="1A67084A" w14:textId="77777777" w:rsidR="002B6657" w:rsidRPr="00E313EF" w:rsidRDefault="002B6657" w:rsidP="002B6657">
      <w:pPr>
        <w:suppressAutoHyphens/>
        <w:autoSpaceDN w:val="0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B5B6DA" w14:textId="77777777" w:rsidR="002B6657" w:rsidRPr="00E313EF" w:rsidRDefault="002B6657" w:rsidP="002B6657">
      <w:pPr>
        <w:numPr>
          <w:ilvl w:val="0"/>
          <w:numId w:val="19"/>
        </w:numPr>
        <w:suppressAutoHyphens/>
        <w:autoSpaceDN w:val="0"/>
        <w:spacing w:after="0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E313EF">
        <w:rPr>
          <w:rFonts w:ascii="Times New Roman" w:eastAsia="Arial" w:hAnsi="Times New Roman" w:cs="Times New Roman"/>
          <w:sz w:val="24"/>
          <w:szCs w:val="24"/>
        </w:rPr>
        <w:t xml:space="preserve">При разработването на материала следва да се предложи за обсъждане и съгласуване примерно съдържание, което да бъде одобрено от Възложителя. </w:t>
      </w:r>
    </w:p>
    <w:p w14:paraId="3F34BD56" w14:textId="77777777" w:rsidR="002B6657" w:rsidRPr="00CA0175" w:rsidRDefault="002B6657" w:rsidP="002B6657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55054B2" w14:textId="77777777" w:rsidR="002B6657" w:rsidRPr="00D12C16" w:rsidRDefault="002B6657" w:rsidP="002B6657">
      <w:pPr>
        <w:jc w:val="both"/>
        <w:rPr>
          <w:rFonts w:ascii="Times New Roman" w:hAnsi="Times New Roman" w:cs="Times New Roman"/>
          <w:sz w:val="24"/>
          <w:szCs w:val="24"/>
        </w:rPr>
      </w:pPr>
      <w:r w:rsidRPr="00D12C16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 xml:space="preserve">Общият обем на материалите и съответно на Изследването следва да бъде от </w:t>
      </w:r>
      <w:r w:rsidRPr="00D12C16">
        <w:rPr>
          <w:rFonts w:ascii="Times New Roman" w:eastAsia="Times New Roman" w:hAnsi="Times New Roman" w:cs="Arial"/>
          <w:b/>
          <w:color w:val="000000"/>
          <w:sz w:val="24"/>
          <w:szCs w:val="24"/>
          <w:lang w:eastAsia="bg-BG"/>
        </w:rPr>
        <w:t>150 стандартни страници</w:t>
      </w:r>
      <w:r w:rsidRPr="00D12C16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, а по вид да покриват минималното съдържание, посочено в техническата спецификация.</w:t>
      </w:r>
    </w:p>
    <w:p w14:paraId="55CE234E" w14:textId="77777777" w:rsidR="002B6657" w:rsidRPr="00D264BE" w:rsidRDefault="002B6657" w:rsidP="002B6657">
      <w:pPr>
        <w:shd w:val="clear" w:color="auto" w:fill="548DD4" w:themeFill="text2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C16">
        <w:rPr>
          <w:rFonts w:ascii="Times New Roman" w:hAnsi="Times New Roman" w:cs="Times New Roman"/>
          <w:b/>
          <w:sz w:val="24"/>
          <w:szCs w:val="24"/>
        </w:rPr>
        <w:t>V. Условия и срок за изпълнение</w:t>
      </w:r>
      <w:r w:rsidR="004D47C1" w:rsidRPr="004D47C1">
        <w:t xml:space="preserve"> </w:t>
      </w:r>
      <w:r w:rsidR="004D47C1" w:rsidRPr="004D47C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4519">
        <w:rPr>
          <w:rFonts w:ascii="Times New Roman" w:hAnsi="Times New Roman" w:cs="Times New Roman"/>
          <w:b/>
          <w:sz w:val="24"/>
          <w:szCs w:val="24"/>
        </w:rPr>
        <w:t>О</w:t>
      </w:r>
      <w:r w:rsidR="004D47C1" w:rsidRPr="004D47C1">
        <w:rPr>
          <w:rFonts w:ascii="Times New Roman" w:hAnsi="Times New Roman" w:cs="Times New Roman"/>
          <w:b/>
          <w:sz w:val="24"/>
          <w:szCs w:val="24"/>
        </w:rPr>
        <w:t>бособена позиция 5</w:t>
      </w:r>
    </w:p>
    <w:p w14:paraId="602D3DBA" w14:textId="77777777" w:rsidR="002B6657" w:rsidRPr="007A3BB9" w:rsidRDefault="002B6657" w:rsidP="002B66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4BE">
        <w:rPr>
          <w:rFonts w:ascii="Times New Roman" w:eastAsia="Calibri" w:hAnsi="Times New Roman" w:cs="Times New Roman"/>
          <w:sz w:val="24"/>
          <w:szCs w:val="24"/>
        </w:rPr>
        <w:t>При изпълнение на услугата, Изпълнителят трябва да спазва правилата на Оперативна програма „Добро управление“, в това число и Единния наръчник на бенефициента за прилагане на правилата за информация и комуникация 2014 – 2020 г.</w:t>
      </w:r>
    </w:p>
    <w:p w14:paraId="42A5F2F8" w14:textId="7293CF5E" w:rsidR="002B6657" w:rsidRPr="007A3BB9" w:rsidRDefault="002B6657" w:rsidP="002B665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3BB9">
        <w:rPr>
          <w:rFonts w:ascii="Times New Roman" w:eastAsia="Calibri" w:hAnsi="Times New Roman" w:cs="Times New Roman"/>
          <w:sz w:val="24"/>
          <w:szCs w:val="24"/>
        </w:rPr>
        <w:t xml:space="preserve">Срокът за изпълнение на обособена позиция № 5 </w:t>
      </w:r>
      <w:r w:rsidR="00687D95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9738E0">
        <w:rPr>
          <w:rFonts w:ascii="Times New Roman" w:eastAsia="Calibri" w:hAnsi="Times New Roman" w:cs="Times New Roman"/>
          <w:sz w:val="24"/>
          <w:szCs w:val="24"/>
        </w:rPr>
        <w:t>4</w:t>
      </w:r>
      <w:r w:rsidR="009738E0" w:rsidRPr="00D26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D95" w:rsidRPr="00D264BE">
        <w:rPr>
          <w:rFonts w:ascii="Times New Roman" w:eastAsia="Calibri" w:hAnsi="Times New Roman" w:cs="Times New Roman"/>
          <w:sz w:val="24"/>
          <w:szCs w:val="24"/>
        </w:rPr>
        <w:t>месеца</w:t>
      </w:r>
      <w:r w:rsidR="00687D95" w:rsidRPr="007A3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7D95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A3BB9">
        <w:rPr>
          <w:rFonts w:ascii="Times New Roman" w:eastAsia="Calibri" w:hAnsi="Times New Roman" w:cs="Times New Roman"/>
          <w:sz w:val="24"/>
          <w:szCs w:val="24"/>
        </w:rPr>
        <w:t>започва да тече от датата на подписване на дог</w:t>
      </w:r>
      <w:r w:rsidRPr="00D264BE">
        <w:rPr>
          <w:rFonts w:ascii="Times New Roman" w:eastAsia="Calibri" w:hAnsi="Times New Roman" w:cs="Times New Roman"/>
          <w:sz w:val="24"/>
          <w:szCs w:val="24"/>
        </w:rPr>
        <w:t xml:space="preserve">овора </w:t>
      </w:r>
      <w:r w:rsidR="00687D95">
        <w:rPr>
          <w:rFonts w:ascii="Times New Roman" w:eastAsia="Calibri" w:hAnsi="Times New Roman" w:cs="Times New Roman"/>
          <w:sz w:val="24"/>
          <w:szCs w:val="24"/>
        </w:rPr>
        <w:t xml:space="preserve"> за възлагане на поръчката.</w:t>
      </w:r>
    </w:p>
    <w:p w14:paraId="7366EB3C" w14:textId="77777777" w:rsidR="002B6657" w:rsidRPr="00D264BE" w:rsidRDefault="002B6657" w:rsidP="002B6657">
      <w:pPr>
        <w:shd w:val="clear" w:color="auto" w:fill="548DD4" w:themeFill="text2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BE">
        <w:rPr>
          <w:rFonts w:ascii="Times New Roman" w:hAnsi="Times New Roman" w:cs="Times New Roman"/>
          <w:b/>
          <w:sz w:val="24"/>
          <w:szCs w:val="24"/>
        </w:rPr>
        <w:t>VI. Изисквания за приемане на изпълнението</w:t>
      </w:r>
      <w:r w:rsidR="004D47C1" w:rsidRPr="004D47C1">
        <w:t xml:space="preserve"> </w:t>
      </w:r>
      <w:r w:rsidR="004D47C1" w:rsidRPr="004D47C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D4519">
        <w:rPr>
          <w:rFonts w:ascii="Times New Roman" w:hAnsi="Times New Roman" w:cs="Times New Roman"/>
          <w:b/>
          <w:sz w:val="24"/>
          <w:szCs w:val="24"/>
        </w:rPr>
        <w:t>О</w:t>
      </w:r>
      <w:r w:rsidR="004D47C1" w:rsidRPr="004D47C1">
        <w:rPr>
          <w:rFonts w:ascii="Times New Roman" w:hAnsi="Times New Roman" w:cs="Times New Roman"/>
          <w:b/>
          <w:sz w:val="24"/>
          <w:szCs w:val="24"/>
        </w:rPr>
        <w:t>бособена позиция 5</w:t>
      </w:r>
    </w:p>
    <w:p w14:paraId="4E5B4027" w14:textId="77777777" w:rsidR="009E4B59" w:rsidRPr="00D264BE" w:rsidRDefault="009E4B59" w:rsidP="009E4B59">
      <w:pPr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264BE">
        <w:rPr>
          <w:rFonts w:ascii="Times New Roman" w:eastAsia="Calibri" w:hAnsi="Times New Roman" w:cs="Times New Roman"/>
          <w:sz w:val="24"/>
          <w:szCs w:val="24"/>
        </w:rPr>
        <w:t xml:space="preserve">Изпълнението на услугата </w:t>
      </w:r>
      <w:r w:rsidRPr="00D264BE">
        <w:rPr>
          <w:rFonts w:ascii="Times New Roman" w:eastAsia="Calibri" w:hAnsi="Times New Roman" w:cs="Times New Roman"/>
          <w:b/>
          <w:sz w:val="24"/>
          <w:szCs w:val="24"/>
        </w:rPr>
        <w:t>„Изследване за перспективите за внедряване на Общата рамка за оценка (CAF) в България“</w:t>
      </w:r>
      <w:r w:rsidRPr="00D264BE">
        <w:rPr>
          <w:rFonts w:ascii="Times New Roman" w:eastAsia="Calibri" w:hAnsi="Times New Roman" w:cs="Times New Roman"/>
          <w:sz w:val="24"/>
          <w:szCs w:val="24"/>
        </w:rPr>
        <w:t xml:space="preserve"> следва да отговаря на поставените минимални изисквания на Възложителя относно съдържание, обхват и обем. </w:t>
      </w:r>
    </w:p>
    <w:p w14:paraId="1DB8EC9D" w14:textId="77777777" w:rsidR="009E4B59" w:rsidRPr="00D264BE" w:rsidRDefault="009E4B59" w:rsidP="009E4B59">
      <w:pPr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264BE">
        <w:rPr>
          <w:rFonts w:ascii="Times New Roman" w:eastAsia="Calibri" w:hAnsi="Times New Roman" w:cs="Times New Roman"/>
          <w:sz w:val="24"/>
          <w:szCs w:val="24"/>
        </w:rPr>
        <w:t>Да бъдат спазени правилата на Оперативна програма „Добро управление“, в това число и изискванията в Единния наръчник на бенефициента за прилагане на правилата за информация и комуникация 2014 – 2020 г.</w:t>
      </w:r>
    </w:p>
    <w:p w14:paraId="5A5A11B5" w14:textId="77777777" w:rsidR="009E4B59" w:rsidRPr="00D264BE" w:rsidRDefault="009E4B59" w:rsidP="009E4B59">
      <w:pPr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264BE">
        <w:rPr>
          <w:rFonts w:ascii="Times New Roman" w:eastAsia="Calibri" w:hAnsi="Times New Roman" w:cs="Times New Roman"/>
          <w:sz w:val="24"/>
          <w:szCs w:val="24"/>
        </w:rPr>
        <w:t xml:space="preserve">Възложителят координира и контролира работата по разработване на изследването през целия срок на договора. </w:t>
      </w:r>
    </w:p>
    <w:p w14:paraId="4C664251" w14:textId="77777777" w:rsidR="009E4B59" w:rsidRPr="00D264BE" w:rsidRDefault="009E4B59" w:rsidP="009E4B59">
      <w:pPr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264BE">
        <w:rPr>
          <w:rFonts w:ascii="Times New Roman" w:eastAsia="Calibri" w:hAnsi="Times New Roman" w:cs="Times New Roman"/>
          <w:sz w:val="24"/>
          <w:szCs w:val="24"/>
        </w:rPr>
        <w:t xml:space="preserve">Изпълнителят предоставя на Възложителя разработения продукт предварително за преглед и коментари. Когато изработеното се отклонява от изискванията на </w:t>
      </w:r>
      <w:r w:rsidRPr="00D264BE">
        <w:rPr>
          <w:rFonts w:ascii="Times New Roman" w:eastAsia="Calibri" w:hAnsi="Times New Roman" w:cs="Times New Roman"/>
          <w:sz w:val="24"/>
          <w:szCs w:val="24"/>
        </w:rPr>
        <w:lastRenderedPageBreak/>
        <w:t>Възложителя, Изпълнителят е длъжен да отстрани за своя сметка констатираните недостатъци в 5- дневен срок от уведомлението за това.</w:t>
      </w:r>
    </w:p>
    <w:p w14:paraId="0A0AF70B" w14:textId="77777777" w:rsidR="009E4B59" w:rsidRPr="00D264BE" w:rsidRDefault="009E4B59" w:rsidP="009E4B59">
      <w:pPr>
        <w:numPr>
          <w:ilvl w:val="0"/>
          <w:numId w:val="20"/>
        </w:num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264BE">
        <w:rPr>
          <w:rFonts w:ascii="Times New Roman" w:eastAsia="Calibri" w:hAnsi="Times New Roman" w:cs="Times New Roman"/>
          <w:sz w:val="24"/>
          <w:szCs w:val="24"/>
        </w:rPr>
        <w:t>Разработеният материал се предава лично от Изпълнителя в сградата на ИПА в гр. София, ул. Аксаков №1, ет.3, 1 бр. на хартиен носител, формат А-4 и 1 бр. на електронен носител.</w:t>
      </w:r>
    </w:p>
    <w:p w14:paraId="61B41DC3" w14:textId="77777777" w:rsidR="009A3686" w:rsidRPr="004D47C1" w:rsidRDefault="009E4B59" w:rsidP="004D47C1">
      <w:pPr>
        <w:pStyle w:val="ListParagraph"/>
        <w:numPr>
          <w:ilvl w:val="0"/>
          <w:numId w:val="20"/>
        </w:num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</w:pPr>
      <w:r w:rsidRPr="004D47C1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 xml:space="preserve">Дейността, предмет на поръчката, се </w:t>
      </w:r>
      <w:r w:rsidR="004D47C1" w:rsidRPr="004D47C1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 xml:space="preserve">приема </w:t>
      </w:r>
      <w:r w:rsidRPr="004D47C1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 xml:space="preserve">с двустранен </w:t>
      </w:r>
      <w:proofErr w:type="spellStart"/>
      <w:r w:rsidRPr="004D47C1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приемо-предавателен</w:t>
      </w:r>
      <w:proofErr w:type="spellEnd"/>
      <w:r w:rsidRPr="004D47C1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 xml:space="preserve"> протокол, подписан от Възложителя и Изпълнителя. След одобрението </w:t>
      </w:r>
      <w:r w:rsidR="004D47C1" w:rsidRPr="004D47C1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 xml:space="preserve">на изследването </w:t>
      </w:r>
      <w:r w:rsidRPr="004D47C1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от Възложителя, се съставя констативен протокол, подписан от двете страни.</w:t>
      </w:r>
    </w:p>
    <w:p w14:paraId="55E6A797" w14:textId="77777777" w:rsidR="009E4B59" w:rsidRPr="00D264BE" w:rsidRDefault="009E4B59" w:rsidP="009E4B59">
      <w:pPr>
        <w:shd w:val="clear" w:color="auto" w:fill="548DD4" w:themeFill="text2" w:themeFillTin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4BE">
        <w:rPr>
          <w:rFonts w:ascii="Times New Roman" w:hAnsi="Times New Roman" w:cs="Times New Roman"/>
          <w:b/>
          <w:sz w:val="24"/>
          <w:szCs w:val="24"/>
        </w:rPr>
        <w:t>VII. Други</w:t>
      </w:r>
    </w:p>
    <w:p w14:paraId="0CB83F53" w14:textId="77777777" w:rsidR="009E4B59" w:rsidRDefault="009E4B59" w:rsidP="00D264BE">
      <w:pPr>
        <w:pStyle w:val="ListParagraph"/>
        <w:numPr>
          <w:ilvl w:val="0"/>
          <w:numId w:val="24"/>
        </w:numPr>
        <w:suppressAutoHyphens/>
        <w:autoSpaceDN w:val="0"/>
        <w:spacing w:after="0"/>
        <w:jc w:val="both"/>
        <w:textAlignment w:val="baseline"/>
        <w:rPr>
          <w:rFonts w:ascii="Times New Roman Bold" w:eastAsia="Arial" w:hAnsi="Times New Roman Bold" w:cs="Times New Roman"/>
          <w:b/>
          <w:sz w:val="24"/>
          <w:szCs w:val="24"/>
        </w:rPr>
      </w:pPr>
      <w:r w:rsidRPr="00D264BE">
        <w:rPr>
          <w:rFonts w:ascii="Times New Roman Bold" w:eastAsia="Arial" w:hAnsi="Times New Roman Bold" w:cs="Times New Roman"/>
          <w:b/>
          <w:sz w:val="24"/>
          <w:szCs w:val="24"/>
        </w:rPr>
        <w:t>Изисквания относно техническите възможности и/или квалификация за изпълнение на обществената поръчка.</w:t>
      </w:r>
    </w:p>
    <w:p w14:paraId="1362031C" w14:textId="77777777" w:rsidR="00D264BE" w:rsidRPr="00D264BE" w:rsidRDefault="00D264BE" w:rsidP="00D264BE">
      <w:pPr>
        <w:pStyle w:val="ListParagraph"/>
        <w:suppressAutoHyphens/>
        <w:autoSpaceDN w:val="0"/>
        <w:spacing w:after="0"/>
        <w:ind w:left="360"/>
        <w:jc w:val="both"/>
        <w:textAlignment w:val="baseline"/>
        <w:rPr>
          <w:rFonts w:ascii="Times New Roman Bold" w:eastAsia="Arial" w:hAnsi="Times New Roman Bold" w:cs="Times New Roman"/>
          <w:b/>
          <w:sz w:val="24"/>
          <w:szCs w:val="24"/>
        </w:rPr>
      </w:pPr>
    </w:p>
    <w:p w14:paraId="321E063D" w14:textId="491C8A43" w:rsidR="009E4B59" w:rsidRPr="00CA0175" w:rsidRDefault="009E4B59" w:rsidP="00D264BE">
      <w:pPr>
        <w:numPr>
          <w:ilvl w:val="1"/>
          <w:numId w:val="24"/>
        </w:numPr>
        <w:suppressAutoHyphens/>
        <w:autoSpaceDN w:val="0"/>
        <w:spacing w:after="0"/>
        <w:jc w:val="both"/>
        <w:textAlignment w:val="baseline"/>
        <w:rPr>
          <w:rFonts w:ascii="Times New Roman Bold" w:eastAsia="Arial" w:hAnsi="Times New Roman Bold" w:cs="Times New Roman"/>
          <w:b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</w:t>
      </w:r>
      <w:r w:rsidRPr="00CA0175">
        <w:rPr>
          <w:rFonts w:ascii="Times New Roman" w:eastAsia="Times New Roman" w:hAnsi="Times New Roman" w:cs="Times New Roman"/>
          <w:sz w:val="24"/>
          <w:szCs w:val="24"/>
          <w:lang w:eastAsia="bg-BG"/>
        </w:rPr>
        <w:t>ците</w:t>
      </w:r>
      <w:r w:rsidRPr="00E313E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313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следва да </w:t>
      </w:r>
      <w:r w:rsidRPr="00CA01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са</w:t>
      </w:r>
      <w:r w:rsidRPr="00E313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изпълнил</w:t>
      </w:r>
      <w:r w:rsidRPr="00CA01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</w:t>
      </w:r>
      <w:r w:rsidRPr="00E313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през последните 3 (три) години, считано от датата на подаване на офертата, най-малко една </w:t>
      </w:r>
      <w:r w:rsidRPr="00CA017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дейност</w:t>
      </w:r>
      <w:r w:rsidRPr="00E313E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която е идентична или сходна с предмета на обществената поръчка по Обособена позиция № 5.</w:t>
      </w:r>
    </w:p>
    <w:p w14:paraId="44E22D6C" w14:textId="66F11A1C" w:rsidR="009E4B59" w:rsidRPr="00D12C16" w:rsidRDefault="009E4B59" w:rsidP="00D264BE">
      <w:pPr>
        <w:suppressAutoHyphens/>
        <w:autoSpaceDN w:val="0"/>
        <w:spacing w:after="0"/>
        <w:ind w:left="7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C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 </w:t>
      </w:r>
      <w:r w:rsidRPr="00D12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„дейност, с предмет, идентичен или сходен с този на поръчката”</w:t>
      </w:r>
      <w:r w:rsidRPr="00D12C1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разбира: разработване на изследвания, провеждане на проучвания и анализи с използването на различни методи за събиране и обработване на информация.</w:t>
      </w:r>
    </w:p>
    <w:p w14:paraId="33F56B37" w14:textId="77777777" w:rsidR="009E4B59" w:rsidRPr="00D264BE" w:rsidRDefault="00D264BE" w:rsidP="00D264BE">
      <w:pPr>
        <w:suppressAutoHyphens/>
        <w:autoSpaceDN w:val="0"/>
        <w:spacing w:after="0"/>
        <w:ind w:left="7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Дейностите м</w:t>
      </w:r>
      <w:r w:rsidR="009E4B59" w:rsidRPr="00D264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оже да са извършени при изпълнението на един или повече проекта/договори.</w:t>
      </w:r>
    </w:p>
    <w:p w14:paraId="691EF4CB" w14:textId="77777777" w:rsidR="009E4B59" w:rsidRPr="00D264BE" w:rsidRDefault="009E4B59" w:rsidP="009E4B59">
      <w:pPr>
        <w:numPr>
          <w:ilvl w:val="1"/>
          <w:numId w:val="24"/>
        </w:numPr>
        <w:shd w:val="clear" w:color="auto" w:fill="FFFFFF"/>
        <w:suppressAutoHyphens/>
        <w:autoSpaceDN w:val="0"/>
        <w:spacing w:after="0"/>
        <w:ind w:right="299"/>
        <w:jc w:val="both"/>
        <w:textAlignment w:val="baseline"/>
        <w:rPr>
          <w:rFonts w:ascii="Times New Roman" w:eastAsia="Arial" w:hAnsi="Times New Roman" w:cs="Times New Roman"/>
          <w:sz w:val="24"/>
          <w:szCs w:val="24"/>
        </w:rPr>
      </w:pPr>
      <w:r w:rsidRPr="00D264BE">
        <w:rPr>
          <w:rFonts w:ascii="Times New Roman" w:eastAsia="Arial" w:hAnsi="Times New Roman" w:cs="Times New Roman"/>
          <w:sz w:val="24"/>
          <w:szCs w:val="24"/>
        </w:rPr>
        <w:t>Участниците следва да разполагат с екип от персонал с определена професионална компетентност за изпълнение на поръчката.</w:t>
      </w:r>
      <w:r w:rsidR="00D264B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264BE">
        <w:rPr>
          <w:rFonts w:ascii="Times New Roman" w:eastAsia="Times New Roman" w:hAnsi="Times New Roman" w:cs="Arial"/>
          <w:color w:val="000000"/>
          <w:sz w:val="24"/>
          <w:szCs w:val="24"/>
          <w:lang w:eastAsia="bg-BG"/>
        </w:rPr>
        <w:t>Минималните изисквания към ключовите експерти са, както следва:</w:t>
      </w:r>
    </w:p>
    <w:p w14:paraId="63A20B73" w14:textId="77777777" w:rsidR="00D264BE" w:rsidRDefault="00D264BE" w:rsidP="009E4B5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A9E36B5" w14:textId="77777777" w:rsidR="009E4B59" w:rsidRPr="00D12C16" w:rsidRDefault="009E4B59" w:rsidP="009E4B59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12C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Ключов експерт 1 „Ръководител на екип“</w:t>
      </w:r>
    </w:p>
    <w:p w14:paraId="02A5A83B" w14:textId="2B874D66" w:rsidR="009E4B59" w:rsidRPr="00E313EF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A6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E313E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38E0" w:rsidRPr="009738E0">
        <w:rPr>
          <w:rFonts w:eastAsia="Calibri"/>
          <w:szCs w:val="24"/>
        </w:rPr>
        <w:t xml:space="preserve"> </w:t>
      </w:r>
      <w:r w:rsidR="009738E0" w:rsidRPr="009738E0">
        <w:rPr>
          <w:rFonts w:ascii="Times New Roman" w:eastAsia="Calibri" w:hAnsi="Times New Roman" w:cs="Times New Roman"/>
          <w:sz w:val="24"/>
          <w:szCs w:val="24"/>
        </w:rPr>
        <w:t>с висше образование,</w:t>
      </w:r>
      <w:r w:rsidRPr="00E313E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образователно-квалификационна степен „бакалавър” в областите „Социални, стопански и правни науки” или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№125 от 2002 г., или еквивалентна образователна степен</w:t>
      </w:r>
    </w:p>
    <w:p w14:paraId="2833972F" w14:textId="77777777" w:rsidR="009E4B59" w:rsidRPr="00E313EF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B9EF2" w14:textId="77777777" w:rsidR="00185A08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A6">
        <w:rPr>
          <w:rFonts w:ascii="Times New Roman" w:eastAsia="Times New Roman" w:hAnsi="Times New Roman" w:cs="Times New Roman"/>
          <w:sz w:val="24"/>
          <w:szCs w:val="24"/>
        </w:rPr>
        <w:t>Професионален</w:t>
      </w:r>
      <w:r w:rsidRPr="00E313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4FA6">
        <w:rPr>
          <w:rFonts w:ascii="Times New Roman" w:eastAsia="Times New Roman" w:hAnsi="Times New Roman" w:cs="Times New Roman"/>
          <w:sz w:val="24"/>
          <w:szCs w:val="24"/>
        </w:rPr>
        <w:t>опит</w:t>
      </w:r>
      <w:r w:rsidRPr="00E313E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E313EF">
        <w:rPr>
          <w:rFonts w:ascii="Times New Roman" w:eastAsia="Times New Roman" w:hAnsi="Times New Roman" w:cs="Times New Roman"/>
          <w:sz w:val="24"/>
          <w:szCs w:val="24"/>
        </w:rPr>
        <w:t xml:space="preserve"> да има опит в изпълнението на най-малко 1 (една) дейност с предмет, идентичен или сходен с този на поръчката</w:t>
      </w:r>
      <w:r w:rsidR="00185A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707602" w14:textId="77777777" w:rsidR="009E4B59" w:rsidRPr="00E313EF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BEE64" w14:textId="77777777" w:rsidR="009E4B59" w:rsidRPr="00CA0175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Ключов експерт 2 </w:t>
      </w:r>
      <w:r w:rsidRPr="00CA017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E313EF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и проучване </w:t>
      </w:r>
      <w:r w:rsidRPr="00CA017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BA526A2" w14:textId="00B10C76" w:rsidR="009E4B59" w:rsidRPr="00E313EF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A6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Образование</w:t>
      </w:r>
      <w:r w:rsidRPr="009738E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38E0" w:rsidRPr="009738E0">
        <w:rPr>
          <w:rFonts w:ascii="Times New Roman" w:eastAsia="Calibri" w:hAnsi="Times New Roman" w:cs="Times New Roman"/>
          <w:sz w:val="24"/>
          <w:szCs w:val="24"/>
        </w:rPr>
        <w:t xml:space="preserve"> с висше образование,</w:t>
      </w:r>
      <w:r w:rsidRPr="00E313E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образователно-квалификационна степен „бакалавър” в областите „Социални, стопански и правни науки” или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№125 от 2002 г., или еквивалентна образователна степен</w:t>
      </w:r>
    </w:p>
    <w:p w14:paraId="59C7C015" w14:textId="77777777" w:rsidR="00185A08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F4FA6">
        <w:rPr>
          <w:rFonts w:ascii="Times New Roman" w:eastAsia="Times New Roman" w:hAnsi="Times New Roman" w:cs="Times New Roman"/>
          <w:sz w:val="24"/>
          <w:szCs w:val="24"/>
        </w:rPr>
        <w:t>Професионален опит</w:t>
      </w:r>
      <w:r w:rsidRPr="00CA017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0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3EF">
        <w:rPr>
          <w:rFonts w:ascii="Times New Roman" w:eastAsia="Times New Roman" w:hAnsi="Times New Roman" w:cs="Times New Roman"/>
          <w:sz w:val="24"/>
          <w:szCs w:val="20"/>
          <w:lang w:eastAsia="ar-SA"/>
        </w:rPr>
        <w:t>да има опит в изпълнението на най-малко 1 (една) дейност с предмет, идентичен или сходен с този на поръчката</w:t>
      </w:r>
      <w:r w:rsidR="00185A08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0B015ADC" w14:textId="77777777" w:rsidR="009E4B59" w:rsidRPr="00CA0175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4E074EF0" w14:textId="77777777" w:rsidR="009E4B59" w:rsidRPr="00CA0175" w:rsidRDefault="009E4B59" w:rsidP="009E4B59">
      <w:pPr>
        <w:shd w:val="clear" w:color="auto" w:fill="FFFFFF"/>
        <w:spacing w:after="0"/>
        <w:ind w:right="3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3EF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Ключов експерт </w:t>
      </w:r>
      <w:r w:rsidR="007A3BB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313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0175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E313EF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на качеството </w:t>
      </w:r>
      <w:r w:rsidRPr="00CA017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96C1CB1" w14:textId="2337CC82" w:rsidR="007A3BB9" w:rsidRDefault="007A3BB9" w:rsidP="009E4B5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FA6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7A3BB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38E0" w:rsidRPr="009738E0">
        <w:rPr>
          <w:rFonts w:eastAsia="Calibri"/>
          <w:szCs w:val="24"/>
        </w:rPr>
        <w:t xml:space="preserve"> </w:t>
      </w:r>
      <w:r w:rsidR="009738E0" w:rsidRPr="009738E0">
        <w:rPr>
          <w:rFonts w:ascii="Times New Roman" w:eastAsia="Calibri" w:hAnsi="Times New Roman" w:cs="Times New Roman"/>
          <w:sz w:val="24"/>
          <w:szCs w:val="24"/>
        </w:rPr>
        <w:t>с висше образование,</w:t>
      </w:r>
      <w:r w:rsidRPr="007A3B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3BB9">
        <w:rPr>
          <w:rFonts w:ascii="Times New Roman" w:eastAsia="Times New Roman" w:hAnsi="Times New Roman" w:cs="Times New Roman"/>
          <w:sz w:val="24"/>
          <w:szCs w:val="24"/>
        </w:rPr>
        <w:t>образователно-квалификационна степен „бакалавър” в областите „Социални, стопански и правни науки” или „Технически науки” или „Природни науки, математика и информатика”, съгласно Класификатор на областите на висше образование и професионалните направления, утвърден с ПМС №125 от 2002 г., или еквивалентна образователна степен</w:t>
      </w:r>
    </w:p>
    <w:p w14:paraId="13955B11" w14:textId="5801EC7B" w:rsidR="009E4B59" w:rsidRPr="00CA0175" w:rsidRDefault="009E4B59" w:rsidP="009E4B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DF4FA6">
        <w:rPr>
          <w:rFonts w:ascii="Times New Roman" w:eastAsia="Times New Roman" w:hAnsi="Times New Roman" w:cs="Times New Roman"/>
          <w:sz w:val="24"/>
          <w:szCs w:val="24"/>
        </w:rPr>
        <w:t>Професионален опит</w:t>
      </w:r>
      <w:bookmarkEnd w:id="0"/>
      <w:r w:rsidRPr="00CA017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CA01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3EF">
        <w:rPr>
          <w:rFonts w:ascii="Times New Roman" w:eastAsia="Times New Roman" w:hAnsi="Times New Roman" w:cs="Times New Roman"/>
          <w:sz w:val="24"/>
          <w:szCs w:val="20"/>
          <w:lang w:eastAsia="ar-SA"/>
        </w:rPr>
        <w:t>да има опит в изпълнението на най-малко 1 (една) дейност с предмет, идентичен или сходен с този на поръчката</w:t>
      </w:r>
      <w:r w:rsidR="00185A08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14:paraId="63D34775" w14:textId="77777777" w:rsidR="00E44C50" w:rsidRPr="00D12C16" w:rsidRDefault="00E44C50" w:rsidP="00DB4EE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44C50" w:rsidRPr="00D12C16" w:rsidSect="00EE1195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E7529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7E8AC" w14:textId="77777777" w:rsidR="00527989" w:rsidRDefault="00527989" w:rsidP="006A5D44">
      <w:pPr>
        <w:spacing w:after="0" w:line="240" w:lineRule="auto"/>
      </w:pPr>
      <w:r>
        <w:separator/>
      </w:r>
    </w:p>
  </w:endnote>
  <w:endnote w:type="continuationSeparator" w:id="0">
    <w:p w14:paraId="5E9C7733" w14:textId="77777777" w:rsidR="00527989" w:rsidRDefault="00527989" w:rsidP="006A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BA7AD" w14:textId="77777777" w:rsidR="00CE208B" w:rsidRPr="00CE208B" w:rsidRDefault="00CE208B" w:rsidP="00CE208B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S Mincho" w:hAnsi="Times New Roman" w:cs="Times New Roman"/>
        <w:bCs/>
        <w:i/>
        <w:sz w:val="20"/>
        <w:szCs w:val="20"/>
      </w:rPr>
    </w:pPr>
    <w:r w:rsidRPr="00CE208B">
      <w:rPr>
        <w:rFonts w:ascii="Times New Roman" w:eastAsia="MS Mincho" w:hAnsi="Times New Roman" w:cs="Times New Roman"/>
        <w:bCs/>
        <w:i/>
        <w:sz w:val="20"/>
        <w:szCs w:val="20"/>
      </w:rPr>
      <w:t>Проект „Въвеждане на Общата рамка за оценка (CAF) в администрациите“ се осъществява с финансовата подкрепа на Оперативна програма „Добро управление“, съфинансирана от Европейския съюз чрез Европейския социален фонд.</w:t>
    </w:r>
  </w:p>
  <w:p w14:paraId="483C6E3D" w14:textId="77777777" w:rsidR="00E313EF" w:rsidRPr="00E313EF" w:rsidRDefault="00CE208B" w:rsidP="006A5D44">
    <w:pPr>
      <w:pBdr>
        <w:top w:val="single" w:sz="4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MS Mincho" w:hAnsi="Times New Roman" w:cs="Times New Roman"/>
        <w:sz w:val="24"/>
        <w:szCs w:val="24"/>
        <w:lang w:val="en-US" w:eastAsia="bg-BG"/>
      </w:rPr>
    </w:pPr>
    <w:r w:rsidRPr="00CE208B">
      <w:rPr>
        <w:rFonts w:ascii="Times New Roman" w:eastAsia="MS Mincho" w:hAnsi="Times New Roman" w:cs="Times New Roman"/>
        <w:bCs/>
        <w:i/>
        <w:sz w:val="20"/>
        <w:szCs w:val="20"/>
      </w:rPr>
      <w:t xml:space="preserve"> </w:t>
    </w:r>
    <w:r w:rsidR="00E313EF">
      <w:rPr>
        <w:rFonts w:ascii="Times New Roman" w:eastAsia="MS Mincho" w:hAnsi="Times New Roman" w:cs="Times New Roman"/>
        <w:bCs/>
        <w:i/>
        <w:sz w:val="20"/>
        <w:szCs w:val="20"/>
        <w:lang w:val="en-US"/>
      </w:rPr>
      <w:t>www.eufunds.bg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9E355" w14:textId="77777777" w:rsidR="00527989" w:rsidRDefault="00527989" w:rsidP="006A5D44">
      <w:pPr>
        <w:spacing w:after="0" w:line="240" w:lineRule="auto"/>
      </w:pPr>
      <w:r>
        <w:separator/>
      </w:r>
    </w:p>
  </w:footnote>
  <w:footnote w:type="continuationSeparator" w:id="0">
    <w:p w14:paraId="6084AC84" w14:textId="77777777" w:rsidR="00527989" w:rsidRDefault="00527989" w:rsidP="006A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4094C" w14:textId="77777777" w:rsidR="0030635A" w:rsidRPr="006A5D44" w:rsidRDefault="0030635A" w:rsidP="006A5D4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5B9BD5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54868AB6" wp14:editId="48843C69">
          <wp:simplePos x="0" y="0"/>
          <wp:positionH relativeFrom="column">
            <wp:posOffset>4332605</wp:posOffset>
          </wp:positionH>
          <wp:positionV relativeFrom="paragraph">
            <wp:posOffset>-93980</wp:posOffset>
          </wp:positionV>
          <wp:extent cx="1386840" cy="1043940"/>
          <wp:effectExtent l="0" t="0" r="0" b="0"/>
          <wp:wrapSquare wrapText="bothSides"/>
          <wp:docPr id="6" name="Picture 6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bg-center-no-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140E6F40" wp14:editId="08CE9B55">
          <wp:simplePos x="0" y="0"/>
          <wp:positionH relativeFrom="column">
            <wp:posOffset>3810</wp:posOffset>
          </wp:positionH>
          <wp:positionV relativeFrom="paragraph">
            <wp:posOffset>-93980</wp:posOffset>
          </wp:positionV>
          <wp:extent cx="1052195" cy="972185"/>
          <wp:effectExtent l="0" t="0" r="0" b="0"/>
          <wp:wrapTight wrapText="bothSides">
            <wp:wrapPolygon edited="0">
              <wp:start x="391" y="0"/>
              <wp:lineTo x="782" y="21163"/>
              <wp:lineTo x="17598" y="21163"/>
              <wp:lineTo x="18380" y="21163"/>
              <wp:lineTo x="20336" y="15660"/>
              <wp:lineTo x="19944" y="0"/>
              <wp:lineTo x="391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0" distB="0" distL="114935" distR="114935" simplePos="0" relativeHeight="251659264" behindDoc="0" locked="0" layoutInCell="1" allowOverlap="1" wp14:anchorId="7929BE61" wp14:editId="51797969">
          <wp:simplePos x="0" y="0"/>
          <wp:positionH relativeFrom="column">
            <wp:posOffset>2564765</wp:posOffset>
          </wp:positionH>
          <wp:positionV relativeFrom="paragraph">
            <wp:posOffset>-34290</wp:posOffset>
          </wp:positionV>
          <wp:extent cx="656590" cy="6477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6A5D44">
      <w:rPr>
        <w:rFonts w:ascii="Times New Roman" w:eastAsia="Times New Roman" w:hAnsi="Times New Roman" w:cs="Times New Roman"/>
        <w:color w:val="5B9BD5"/>
        <w:sz w:val="24"/>
        <w:szCs w:val="24"/>
        <w:lang w:eastAsia="bg-BG"/>
      </w:rPr>
      <w:t xml:space="preserve"> </w:t>
    </w:r>
  </w:p>
  <w:p w14:paraId="09156F6C" w14:textId="77777777" w:rsidR="0030635A" w:rsidRPr="006A5D44" w:rsidRDefault="0030635A" w:rsidP="006A5D4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5B9BD5"/>
        <w:sz w:val="24"/>
        <w:szCs w:val="24"/>
        <w:lang w:eastAsia="bg-BG"/>
      </w:rPr>
    </w:pPr>
  </w:p>
  <w:p w14:paraId="1660284D" w14:textId="77777777" w:rsidR="0030635A" w:rsidRPr="006A5D44" w:rsidRDefault="0030635A" w:rsidP="006A5D44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5B9BD5"/>
        <w:sz w:val="24"/>
        <w:szCs w:val="24"/>
        <w:lang w:eastAsia="bg-BG"/>
      </w:rPr>
    </w:pPr>
  </w:p>
  <w:p w14:paraId="01F6CFF1" w14:textId="77777777" w:rsidR="0030635A" w:rsidRPr="006A5D44" w:rsidRDefault="0030635A" w:rsidP="006A5D44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i/>
        <w:sz w:val="14"/>
        <w:szCs w:val="14"/>
        <w:lang w:eastAsia="ar-SA"/>
      </w:rPr>
    </w:pPr>
  </w:p>
  <w:p w14:paraId="74940C57" w14:textId="77777777" w:rsidR="0030635A" w:rsidRPr="006A5D44" w:rsidRDefault="0030635A" w:rsidP="006A5D44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5B9BD5"/>
        <w:sz w:val="16"/>
        <w:szCs w:val="16"/>
        <w:lang w:eastAsia="bg-BG"/>
      </w:rPr>
    </w:pPr>
    <w:r w:rsidRPr="006A5D44">
      <w:rPr>
        <w:rFonts w:ascii="Calibri" w:eastAsia="Times New Roman" w:hAnsi="Calibri" w:cs="Times New Roman"/>
        <w:b/>
        <w:sz w:val="16"/>
        <w:szCs w:val="16"/>
        <w:lang w:val="ru-RU" w:eastAsia="ar-SA"/>
      </w:rPr>
      <w:t>ИНСТИТУТ П</w:t>
    </w:r>
    <w:r w:rsidRPr="006A5D44">
      <w:rPr>
        <w:rFonts w:ascii="Calibri" w:eastAsia="Times New Roman" w:hAnsi="Calibri" w:cs="Times New Roman"/>
        <w:b/>
        <w:sz w:val="16"/>
        <w:szCs w:val="16"/>
        <w:lang w:eastAsia="ar-SA"/>
      </w:rPr>
      <w:t>O</w:t>
    </w:r>
    <w:r>
      <w:rPr>
        <w:rFonts w:ascii="Calibri" w:eastAsia="Times New Roman" w:hAnsi="Calibri" w:cs="Times New Roman"/>
        <w:b/>
        <w:sz w:val="16"/>
        <w:szCs w:val="16"/>
        <w:lang w:eastAsia="ar-SA"/>
      </w:rPr>
      <w:t xml:space="preserve"> </w:t>
    </w:r>
    <w:r w:rsidRPr="006A5D44">
      <w:rPr>
        <w:rFonts w:ascii="Calibri" w:eastAsia="Times New Roman" w:hAnsi="Calibri" w:cs="Times New Roman"/>
        <w:b/>
        <w:sz w:val="16"/>
        <w:szCs w:val="16"/>
        <w:lang w:val="ru-RU" w:eastAsia="ar-SA"/>
      </w:rPr>
      <w:t>ПУБЛИЧНА</w:t>
    </w:r>
  </w:p>
  <w:p w14:paraId="6EAA63DC" w14:textId="77777777" w:rsidR="0030635A" w:rsidRPr="006A5D44" w:rsidRDefault="0030635A" w:rsidP="006A5D44">
    <w:pPr>
      <w:suppressAutoHyphens/>
      <w:spacing w:after="0" w:line="240" w:lineRule="auto"/>
      <w:jc w:val="center"/>
      <w:rPr>
        <w:rFonts w:ascii="Calibri" w:eastAsia="Times New Roman" w:hAnsi="Calibri" w:cs="Times New Roman"/>
        <w:b/>
        <w:sz w:val="16"/>
        <w:szCs w:val="16"/>
        <w:lang w:eastAsia="ar-SA"/>
      </w:rPr>
    </w:pPr>
    <w:r w:rsidRPr="006A5D44">
      <w:rPr>
        <w:rFonts w:ascii="Calibri" w:eastAsia="Times New Roman" w:hAnsi="Calibri" w:cs="Times New Roman"/>
        <w:b/>
        <w:sz w:val="16"/>
        <w:szCs w:val="16"/>
        <w:lang w:val="ru-RU" w:eastAsia="ar-SA"/>
      </w:rPr>
      <w:t>АДМИНИСТРАЦИЯ</w:t>
    </w:r>
  </w:p>
  <w:p w14:paraId="19C5E23D" w14:textId="77777777" w:rsidR="0030635A" w:rsidRDefault="00306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C2E"/>
    <w:multiLevelType w:val="hybridMultilevel"/>
    <w:tmpl w:val="D422B9A6"/>
    <w:lvl w:ilvl="0" w:tplc="D4D80C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66C5E"/>
    <w:multiLevelType w:val="hybridMultilevel"/>
    <w:tmpl w:val="43BCE6EA"/>
    <w:lvl w:ilvl="0" w:tplc="633AFD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62CB"/>
    <w:multiLevelType w:val="hybridMultilevel"/>
    <w:tmpl w:val="92CC0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2172BF7"/>
    <w:multiLevelType w:val="multilevel"/>
    <w:tmpl w:val="BA6EC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FF260A"/>
    <w:multiLevelType w:val="hybridMultilevel"/>
    <w:tmpl w:val="5D804F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1598C"/>
    <w:multiLevelType w:val="multilevel"/>
    <w:tmpl w:val="BA6EC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661C9F"/>
    <w:multiLevelType w:val="hybridMultilevel"/>
    <w:tmpl w:val="8C90F4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909AA"/>
    <w:multiLevelType w:val="multilevel"/>
    <w:tmpl w:val="7840B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830E60"/>
    <w:multiLevelType w:val="multilevel"/>
    <w:tmpl w:val="7840B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7D2969"/>
    <w:multiLevelType w:val="hybridMultilevel"/>
    <w:tmpl w:val="A5C892AE"/>
    <w:lvl w:ilvl="0" w:tplc="633AFD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E7CF6"/>
    <w:multiLevelType w:val="hybridMultilevel"/>
    <w:tmpl w:val="9F3666D2"/>
    <w:lvl w:ilvl="0" w:tplc="D4D80C56">
      <w:numFmt w:val="bullet"/>
      <w:lvlText w:val="-"/>
      <w:lvlJc w:val="left"/>
      <w:pPr>
        <w:ind w:left="1444" w:hanging="73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13A3220"/>
    <w:multiLevelType w:val="hybridMultilevel"/>
    <w:tmpl w:val="BE82F482"/>
    <w:lvl w:ilvl="0" w:tplc="9FF2A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16E37"/>
    <w:multiLevelType w:val="hybridMultilevel"/>
    <w:tmpl w:val="0FA22568"/>
    <w:lvl w:ilvl="0" w:tplc="EA64A68E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D958EA"/>
    <w:multiLevelType w:val="hybridMultilevel"/>
    <w:tmpl w:val="9ED86CC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E47CD8"/>
    <w:multiLevelType w:val="hybridMultilevel"/>
    <w:tmpl w:val="BE82F482"/>
    <w:lvl w:ilvl="0" w:tplc="9FF2A0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638BB"/>
    <w:multiLevelType w:val="hybridMultilevel"/>
    <w:tmpl w:val="3800DEF0"/>
    <w:lvl w:ilvl="0" w:tplc="D4D80C56">
      <w:numFmt w:val="bullet"/>
      <w:lvlText w:val="-"/>
      <w:lvlJc w:val="left"/>
      <w:pPr>
        <w:ind w:left="1444" w:hanging="735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85701"/>
    <w:multiLevelType w:val="hybridMultilevel"/>
    <w:tmpl w:val="92CC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176B1"/>
    <w:multiLevelType w:val="hybridMultilevel"/>
    <w:tmpl w:val="758ABAC0"/>
    <w:lvl w:ilvl="0" w:tplc="139A39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E1ABF"/>
    <w:multiLevelType w:val="hybridMultilevel"/>
    <w:tmpl w:val="6D8A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F6580"/>
    <w:multiLevelType w:val="hybridMultilevel"/>
    <w:tmpl w:val="7A6CF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B10A5"/>
    <w:multiLevelType w:val="hybridMultilevel"/>
    <w:tmpl w:val="1396A4C8"/>
    <w:lvl w:ilvl="0" w:tplc="0442919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329E2"/>
    <w:multiLevelType w:val="multilevel"/>
    <w:tmpl w:val="BA6EC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C456EB3"/>
    <w:multiLevelType w:val="hybridMultilevel"/>
    <w:tmpl w:val="DDF45C2E"/>
    <w:lvl w:ilvl="0" w:tplc="633AFD3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265D16"/>
    <w:multiLevelType w:val="hybridMultilevel"/>
    <w:tmpl w:val="92CC0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56D76"/>
    <w:multiLevelType w:val="hybridMultilevel"/>
    <w:tmpl w:val="4C84F106"/>
    <w:lvl w:ilvl="0" w:tplc="04429198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15"/>
  </w:num>
  <w:num w:numId="5">
    <w:abstractNumId w:val="17"/>
  </w:num>
  <w:num w:numId="6">
    <w:abstractNumId w:val="5"/>
  </w:num>
  <w:num w:numId="7">
    <w:abstractNumId w:val="12"/>
  </w:num>
  <w:num w:numId="8">
    <w:abstractNumId w:val="3"/>
  </w:num>
  <w:num w:numId="9">
    <w:abstractNumId w:val="19"/>
  </w:num>
  <w:num w:numId="10">
    <w:abstractNumId w:val="14"/>
  </w:num>
  <w:num w:numId="11">
    <w:abstractNumId w:val="2"/>
  </w:num>
  <w:num w:numId="12">
    <w:abstractNumId w:val="18"/>
  </w:num>
  <w:num w:numId="13">
    <w:abstractNumId w:val="20"/>
  </w:num>
  <w:num w:numId="14">
    <w:abstractNumId w:val="24"/>
  </w:num>
  <w:num w:numId="15">
    <w:abstractNumId w:val="23"/>
  </w:num>
  <w:num w:numId="16">
    <w:abstractNumId w:val="11"/>
  </w:num>
  <w:num w:numId="17">
    <w:abstractNumId w:val="0"/>
  </w:num>
  <w:num w:numId="18">
    <w:abstractNumId w:val="16"/>
  </w:num>
  <w:num w:numId="19">
    <w:abstractNumId w:val="9"/>
  </w:num>
  <w:num w:numId="20">
    <w:abstractNumId w:val="22"/>
  </w:num>
  <w:num w:numId="21">
    <w:abstractNumId w:val="8"/>
  </w:num>
  <w:num w:numId="22">
    <w:abstractNumId w:val="4"/>
  </w:num>
  <w:num w:numId="23">
    <w:abstractNumId w:val="6"/>
  </w:num>
  <w:num w:numId="24">
    <w:abstractNumId w:val="7"/>
  </w:num>
  <w:num w:numId="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 1">
    <w15:presenceInfo w15:providerId="None" w15:userId="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AE"/>
    <w:rsid w:val="00001D83"/>
    <w:rsid w:val="00002E13"/>
    <w:rsid w:val="000136B3"/>
    <w:rsid w:val="00017738"/>
    <w:rsid w:val="00020B48"/>
    <w:rsid w:val="00022656"/>
    <w:rsid w:val="000238E8"/>
    <w:rsid w:val="000274D2"/>
    <w:rsid w:val="00032095"/>
    <w:rsid w:val="00032D08"/>
    <w:rsid w:val="00035E3A"/>
    <w:rsid w:val="0003694D"/>
    <w:rsid w:val="00041FE1"/>
    <w:rsid w:val="00043F01"/>
    <w:rsid w:val="00046C71"/>
    <w:rsid w:val="00053855"/>
    <w:rsid w:val="000572E1"/>
    <w:rsid w:val="00061069"/>
    <w:rsid w:val="0006153A"/>
    <w:rsid w:val="000620C8"/>
    <w:rsid w:val="0007154E"/>
    <w:rsid w:val="00074CB6"/>
    <w:rsid w:val="00086E11"/>
    <w:rsid w:val="000A6359"/>
    <w:rsid w:val="000A67EA"/>
    <w:rsid w:val="000B697C"/>
    <w:rsid w:val="000B7EDA"/>
    <w:rsid w:val="000C7883"/>
    <w:rsid w:val="000D2CB3"/>
    <w:rsid w:val="000F0753"/>
    <w:rsid w:val="000F10B1"/>
    <w:rsid w:val="000F163A"/>
    <w:rsid w:val="000F616C"/>
    <w:rsid w:val="00121942"/>
    <w:rsid w:val="00130711"/>
    <w:rsid w:val="00147EC2"/>
    <w:rsid w:val="00154E59"/>
    <w:rsid w:val="0017206C"/>
    <w:rsid w:val="001738E0"/>
    <w:rsid w:val="00185A08"/>
    <w:rsid w:val="00193D54"/>
    <w:rsid w:val="001A5014"/>
    <w:rsid w:val="001B14E5"/>
    <w:rsid w:val="001C0B67"/>
    <w:rsid w:val="001C450E"/>
    <w:rsid w:val="001E189B"/>
    <w:rsid w:val="001F3272"/>
    <w:rsid w:val="00202F27"/>
    <w:rsid w:val="002231FD"/>
    <w:rsid w:val="00223FB5"/>
    <w:rsid w:val="0022568E"/>
    <w:rsid w:val="0023494B"/>
    <w:rsid w:val="0024592F"/>
    <w:rsid w:val="00250E02"/>
    <w:rsid w:val="002601E9"/>
    <w:rsid w:val="00260C01"/>
    <w:rsid w:val="00280C1E"/>
    <w:rsid w:val="00284885"/>
    <w:rsid w:val="00291CA9"/>
    <w:rsid w:val="002930C7"/>
    <w:rsid w:val="00294EFF"/>
    <w:rsid w:val="002A1B46"/>
    <w:rsid w:val="002A4712"/>
    <w:rsid w:val="002A4D34"/>
    <w:rsid w:val="002A6778"/>
    <w:rsid w:val="002A6D05"/>
    <w:rsid w:val="002B1307"/>
    <w:rsid w:val="002B246E"/>
    <w:rsid w:val="002B3B53"/>
    <w:rsid w:val="002B6657"/>
    <w:rsid w:val="002C27E2"/>
    <w:rsid w:val="002C51BE"/>
    <w:rsid w:val="002D6E97"/>
    <w:rsid w:val="002D7306"/>
    <w:rsid w:val="00303865"/>
    <w:rsid w:val="00305D59"/>
    <w:rsid w:val="0030635A"/>
    <w:rsid w:val="0030796A"/>
    <w:rsid w:val="00313950"/>
    <w:rsid w:val="00334C98"/>
    <w:rsid w:val="003367DD"/>
    <w:rsid w:val="00345871"/>
    <w:rsid w:val="00352638"/>
    <w:rsid w:val="003567EE"/>
    <w:rsid w:val="00357321"/>
    <w:rsid w:val="00362D3A"/>
    <w:rsid w:val="00365BE4"/>
    <w:rsid w:val="0037109E"/>
    <w:rsid w:val="00371A63"/>
    <w:rsid w:val="00376B7E"/>
    <w:rsid w:val="003A29C4"/>
    <w:rsid w:val="003A3687"/>
    <w:rsid w:val="003B0044"/>
    <w:rsid w:val="003B6A3E"/>
    <w:rsid w:val="003C396D"/>
    <w:rsid w:val="003C5D24"/>
    <w:rsid w:val="003C646E"/>
    <w:rsid w:val="003D14CF"/>
    <w:rsid w:val="003D6551"/>
    <w:rsid w:val="003F10B1"/>
    <w:rsid w:val="004000A0"/>
    <w:rsid w:val="00403A35"/>
    <w:rsid w:val="00406B49"/>
    <w:rsid w:val="00410F8C"/>
    <w:rsid w:val="00412B55"/>
    <w:rsid w:val="00413F45"/>
    <w:rsid w:val="00431252"/>
    <w:rsid w:val="00431AF9"/>
    <w:rsid w:val="00441FA7"/>
    <w:rsid w:val="0044473A"/>
    <w:rsid w:val="00446211"/>
    <w:rsid w:val="004475BB"/>
    <w:rsid w:val="00451489"/>
    <w:rsid w:val="00460A93"/>
    <w:rsid w:val="0046111B"/>
    <w:rsid w:val="00461B06"/>
    <w:rsid w:val="00461F8E"/>
    <w:rsid w:val="00466F17"/>
    <w:rsid w:val="00476CFB"/>
    <w:rsid w:val="004808D8"/>
    <w:rsid w:val="00486847"/>
    <w:rsid w:val="004A4AB6"/>
    <w:rsid w:val="004A716F"/>
    <w:rsid w:val="004C0266"/>
    <w:rsid w:val="004C3D3E"/>
    <w:rsid w:val="004C76CE"/>
    <w:rsid w:val="004D47C1"/>
    <w:rsid w:val="004E320F"/>
    <w:rsid w:val="004E44FD"/>
    <w:rsid w:val="004E6D16"/>
    <w:rsid w:val="004F3511"/>
    <w:rsid w:val="004F3A6A"/>
    <w:rsid w:val="004F5EBE"/>
    <w:rsid w:val="00503155"/>
    <w:rsid w:val="00503A73"/>
    <w:rsid w:val="0050699F"/>
    <w:rsid w:val="00512314"/>
    <w:rsid w:val="00520F83"/>
    <w:rsid w:val="00527989"/>
    <w:rsid w:val="00533CA1"/>
    <w:rsid w:val="005418AF"/>
    <w:rsid w:val="00543BAA"/>
    <w:rsid w:val="005441C0"/>
    <w:rsid w:val="00544A19"/>
    <w:rsid w:val="0054614C"/>
    <w:rsid w:val="0054616B"/>
    <w:rsid w:val="00551E99"/>
    <w:rsid w:val="00557C59"/>
    <w:rsid w:val="0056324E"/>
    <w:rsid w:val="005704AC"/>
    <w:rsid w:val="00572932"/>
    <w:rsid w:val="00584D98"/>
    <w:rsid w:val="00595DFB"/>
    <w:rsid w:val="005A70D5"/>
    <w:rsid w:val="005B26B5"/>
    <w:rsid w:val="005B7550"/>
    <w:rsid w:val="005C1BD9"/>
    <w:rsid w:val="005D2AF4"/>
    <w:rsid w:val="005E2B40"/>
    <w:rsid w:val="005E45DC"/>
    <w:rsid w:val="005E7183"/>
    <w:rsid w:val="005F1A6F"/>
    <w:rsid w:val="005F271C"/>
    <w:rsid w:val="00605B5F"/>
    <w:rsid w:val="006103F6"/>
    <w:rsid w:val="00610E00"/>
    <w:rsid w:val="00616658"/>
    <w:rsid w:val="00634344"/>
    <w:rsid w:val="006343EB"/>
    <w:rsid w:val="00636A6A"/>
    <w:rsid w:val="00652FC2"/>
    <w:rsid w:val="00656C32"/>
    <w:rsid w:val="00674DBC"/>
    <w:rsid w:val="006770CD"/>
    <w:rsid w:val="00684894"/>
    <w:rsid w:val="00687D95"/>
    <w:rsid w:val="006970D5"/>
    <w:rsid w:val="006A268C"/>
    <w:rsid w:val="006A2C26"/>
    <w:rsid w:val="006A39B1"/>
    <w:rsid w:val="006A5D44"/>
    <w:rsid w:val="006B06B1"/>
    <w:rsid w:val="006B0ACE"/>
    <w:rsid w:val="006B12C6"/>
    <w:rsid w:val="006B1DB5"/>
    <w:rsid w:val="006C1C8C"/>
    <w:rsid w:val="006C589D"/>
    <w:rsid w:val="006C68A5"/>
    <w:rsid w:val="006F5D83"/>
    <w:rsid w:val="007030FF"/>
    <w:rsid w:val="00710637"/>
    <w:rsid w:val="0071451C"/>
    <w:rsid w:val="00740667"/>
    <w:rsid w:val="00745394"/>
    <w:rsid w:val="00747148"/>
    <w:rsid w:val="00752852"/>
    <w:rsid w:val="00755B8B"/>
    <w:rsid w:val="007709D0"/>
    <w:rsid w:val="007737D3"/>
    <w:rsid w:val="00780235"/>
    <w:rsid w:val="007825EE"/>
    <w:rsid w:val="0079424E"/>
    <w:rsid w:val="007A0837"/>
    <w:rsid w:val="007A3BB9"/>
    <w:rsid w:val="007B0D5F"/>
    <w:rsid w:val="007B3CF3"/>
    <w:rsid w:val="007C1493"/>
    <w:rsid w:val="007C7107"/>
    <w:rsid w:val="007E44ED"/>
    <w:rsid w:val="007F107B"/>
    <w:rsid w:val="007F3C40"/>
    <w:rsid w:val="007F4E9A"/>
    <w:rsid w:val="007F6DB7"/>
    <w:rsid w:val="008002F2"/>
    <w:rsid w:val="00804B65"/>
    <w:rsid w:val="00807EBE"/>
    <w:rsid w:val="00811E00"/>
    <w:rsid w:val="00811F10"/>
    <w:rsid w:val="00817E32"/>
    <w:rsid w:val="00821B3A"/>
    <w:rsid w:val="008256F8"/>
    <w:rsid w:val="00853344"/>
    <w:rsid w:val="00853CA9"/>
    <w:rsid w:val="00862244"/>
    <w:rsid w:val="00890104"/>
    <w:rsid w:val="008914CB"/>
    <w:rsid w:val="00891F2B"/>
    <w:rsid w:val="008A049D"/>
    <w:rsid w:val="008A5D06"/>
    <w:rsid w:val="008A6479"/>
    <w:rsid w:val="008A7600"/>
    <w:rsid w:val="008D09B8"/>
    <w:rsid w:val="008F5E11"/>
    <w:rsid w:val="00902DEB"/>
    <w:rsid w:val="00910258"/>
    <w:rsid w:val="00911F5E"/>
    <w:rsid w:val="0091666F"/>
    <w:rsid w:val="00921D49"/>
    <w:rsid w:val="00933C84"/>
    <w:rsid w:val="00943BD7"/>
    <w:rsid w:val="009520E1"/>
    <w:rsid w:val="00953576"/>
    <w:rsid w:val="00956A40"/>
    <w:rsid w:val="00957358"/>
    <w:rsid w:val="00967C08"/>
    <w:rsid w:val="009738E0"/>
    <w:rsid w:val="00985992"/>
    <w:rsid w:val="00985F19"/>
    <w:rsid w:val="00990C51"/>
    <w:rsid w:val="009A105F"/>
    <w:rsid w:val="009A3686"/>
    <w:rsid w:val="009B0607"/>
    <w:rsid w:val="009B4A86"/>
    <w:rsid w:val="009B5048"/>
    <w:rsid w:val="009C12AF"/>
    <w:rsid w:val="009D61C1"/>
    <w:rsid w:val="009D6CA5"/>
    <w:rsid w:val="009E1075"/>
    <w:rsid w:val="009E4B59"/>
    <w:rsid w:val="00A04408"/>
    <w:rsid w:val="00A051F9"/>
    <w:rsid w:val="00A20999"/>
    <w:rsid w:val="00A21C7F"/>
    <w:rsid w:val="00A24FAE"/>
    <w:rsid w:val="00A33A9F"/>
    <w:rsid w:val="00A33E5F"/>
    <w:rsid w:val="00A35E24"/>
    <w:rsid w:val="00A42708"/>
    <w:rsid w:val="00A71AFC"/>
    <w:rsid w:val="00A75032"/>
    <w:rsid w:val="00A80DFF"/>
    <w:rsid w:val="00A94C23"/>
    <w:rsid w:val="00AA1571"/>
    <w:rsid w:val="00AA3F48"/>
    <w:rsid w:val="00AA5C60"/>
    <w:rsid w:val="00AB490A"/>
    <w:rsid w:val="00AB5F59"/>
    <w:rsid w:val="00AC4199"/>
    <w:rsid w:val="00AD1BDE"/>
    <w:rsid w:val="00AD3A94"/>
    <w:rsid w:val="00AE1F8E"/>
    <w:rsid w:val="00AE284D"/>
    <w:rsid w:val="00AE2CA3"/>
    <w:rsid w:val="00B01AE2"/>
    <w:rsid w:val="00B0576A"/>
    <w:rsid w:val="00B079C5"/>
    <w:rsid w:val="00B11DAB"/>
    <w:rsid w:val="00B14E90"/>
    <w:rsid w:val="00B16770"/>
    <w:rsid w:val="00B21F5B"/>
    <w:rsid w:val="00B255DD"/>
    <w:rsid w:val="00B30F68"/>
    <w:rsid w:val="00B54087"/>
    <w:rsid w:val="00B65F20"/>
    <w:rsid w:val="00B66D7F"/>
    <w:rsid w:val="00B768C4"/>
    <w:rsid w:val="00B9027F"/>
    <w:rsid w:val="00B929DD"/>
    <w:rsid w:val="00B9599B"/>
    <w:rsid w:val="00BA2181"/>
    <w:rsid w:val="00BA4936"/>
    <w:rsid w:val="00BB033C"/>
    <w:rsid w:val="00BB53C2"/>
    <w:rsid w:val="00BC198B"/>
    <w:rsid w:val="00BC43E3"/>
    <w:rsid w:val="00BD1449"/>
    <w:rsid w:val="00BD65F6"/>
    <w:rsid w:val="00BE3C50"/>
    <w:rsid w:val="00BF5D36"/>
    <w:rsid w:val="00C01A2D"/>
    <w:rsid w:val="00C01DBA"/>
    <w:rsid w:val="00C04960"/>
    <w:rsid w:val="00C14A23"/>
    <w:rsid w:val="00C14C0B"/>
    <w:rsid w:val="00C46601"/>
    <w:rsid w:val="00C529B5"/>
    <w:rsid w:val="00C53485"/>
    <w:rsid w:val="00C57E64"/>
    <w:rsid w:val="00C6046C"/>
    <w:rsid w:val="00C63189"/>
    <w:rsid w:val="00C6551B"/>
    <w:rsid w:val="00C76D73"/>
    <w:rsid w:val="00C90E87"/>
    <w:rsid w:val="00CA0175"/>
    <w:rsid w:val="00CA0AAE"/>
    <w:rsid w:val="00CB320A"/>
    <w:rsid w:val="00CC09FA"/>
    <w:rsid w:val="00CD28F9"/>
    <w:rsid w:val="00CD5E76"/>
    <w:rsid w:val="00CD7DB8"/>
    <w:rsid w:val="00CE03EE"/>
    <w:rsid w:val="00CE208B"/>
    <w:rsid w:val="00CF773D"/>
    <w:rsid w:val="00CF7CB4"/>
    <w:rsid w:val="00D062C2"/>
    <w:rsid w:val="00D12C16"/>
    <w:rsid w:val="00D15849"/>
    <w:rsid w:val="00D16310"/>
    <w:rsid w:val="00D264BE"/>
    <w:rsid w:val="00D36087"/>
    <w:rsid w:val="00D50F6C"/>
    <w:rsid w:val="00D55198"/>
    <w:rsid w:val="00D55291"/>
    <w:rsid w:val="00D57549"/>
    <w:rsid w:val="00D57971"/>
    <w:rsid w:val="00D646A7"/>
    <w:rsid w:val="00D77B21"/>
    <w:rsid w:val="00D825B5"/>
    <w:rsid w:val="00D8272E"/>
    <w:rsid w:val="00D8442D"/>
    <w:rsid w:val="00D8491C"/>
    <w:rsid w:val="00D85F16"/>
    <w:rsid w:val="00DA4BC7"/>
    <w:rsid w:val="00DB4EE1"/>
    <w:rsid w:val="00DC4FD2"/>
    <w:rsid w:val="00DD4519"/>
    <w:rsid w:val="00DD602B"/>
    <w:rsid w:val="00DE1646"/>
    <w:rsid w:val="00DE2C0B"/>
    <w:rsid w:val="00DF3A4D"/>
    <w:rsid w:val="00DF414F"/>
    <w:rsid w:val="00DF4FA6"/>
    <w:rsid w:val="00DF71FC"/>
    <w:rsid w:val="00E0245D"/>
    <w:rsid w:val="00E12EA4"/>
    <w:rsid w:val="00E134D8"/>
    <w:rsid w:val="00E137A7"/>
    <w:rsid w:val="00E21876"/>
    <w:rsid w:val="00E313EF"/>
    <w:rsid w:val="00E33003"/>
    <w:rsid w:val="00E33DB1"/>
    <w:rsid w:val="00E33FB7"/>
    <w:rsid w:val="00E36B11"/>
    <w:rsid w:val="00E36DFE"/>
    <w:rsid w:val="00E44C50"/>
    <w:rsid w:val="00E51875"/>
    <w:rsid w:val="00E626A3"/>
    <w:rsid w:val="00E67F85"/>
    <w:rsid w:val="00E7576D"/>
    <w:rsid w:val="00E760AD"/>
    <w:rsid w:val="00E762D0"/>
    <w:rsid w:val="00E776A5"/>
    <w:rsid w:val="00E82D4E"/>
    <w:rsid w:val="00E86A92"/>
    <w:rsid w:val="00E92B77"/>
    <w:rsid w:val="00E97B92"/>
    <w:rsid w:val="00EA5DAC"/>
    <w:rsid w:val="00EA7AE1"/>
    <w:rsid w:val="00ED0271"/>
    <w:rsid w:val="00ED05BA"/>
    <w:rsid w:val="00ED101D"/>
    <w:rsid w:val="00ED4D87"/>
    <w:rsid w:val="00ED757C"/>
    <w:rsid w:val="00EE1195"/>
    <w:rsid w:val="00EF76A5"/>
    <w:rsid w:val="00F1126C"/>
    <w:rsid w:val="00F144A8"/>
    <w:rsid w:val="00F16352"/>
    <w:rsid w:val="00F25013"/>
    <w:rsid w:val="00F375D4"/>
    <w:rsid w:val="00F4207D"/>
    <w:rsid w:val="00F61B70"/>
    <w:rsid w:val="00F62506"/>
    <w:rsid w:val="00F629C0"/>
    <w:rsid w:val="00F65749"/>
    <w:rsid w:val="00F75997"/>
    <w:rsid w:val="00F9061A"/>
    <w:rsid w:val="00F96814"/>
    <w:rsid w:val="00FA2399"/>
    <w:rsid w:val="00FC7292"/>
    <w:rsid w:val="00FD1A7A"/>
    <w:rsid w:val="00FD395C"/>
    <w:rsid w:val="00FD421E"/>
    <w:rsid w:val="00FD4A8A"/>
    <w:rsid w:val="00FD6481"/>
    <w:rsid w:val="00FD66A5"/>
    <w:rsid w:val="00FE49ED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A0D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B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D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D4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6A5D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D44"/>
    <w:rPr>
      <w:lang w:val="bg-BG"/>
    </w:rPr>
  </w:style>
  <w:style w:type="paragraph" w:customStyle="1" w:styleId="CharChar">
    <w:name w:val="Char Char"/>
    <w:basedOn w:val="Normal"/>
    <w:rsid w:val="006A5D4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C09FA"/>
    <w:pPr>
      <w:ind w:left="720"/>
      <w:contextualSpacing/>
    </w:pPr>
  </w:style>
  <w:style w:type="table" w:styleId="TableGrid">
    <w:name w:val="Table Grid"/>
    <w:basedOn w:val="TableNormal"/>
    <w:uiPriority w:val="59"/>
    <w:rsid w:val="003A368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6B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F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272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272"/>
    <w:rPr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F48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AA3F48"/>
    <w:rPr>
      <w:vertAlign w:val="superscript"/>
    </w:rPr>
  </w:style>
  <w:style w:type="paragraph" w:styleId="Revision">
    <w:name w:val="Revision"/>
    <w:hidden/>
    <w:uiPriority w:val="99"/>
    <w:semiHidden/>
    <w:rsid w:val="00503A73"/>
    <w:pPr>
      <w:spacing w:after="0" w:line="240" w:lineRule="auto"/>
    </w:pPr>
    <w:rPr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B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D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D4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6A5D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D44"/>
    <w:rPr>
      <w:lang w:val="bg-BG"/>
    </w:rPr>
  </w:style>
  <w:style w:type="paragraph" w:customStyle="1" w:styleId="CharChar">
    <w:name w:val="Char Char"/>
    <w:basedOn w:val="Normal"/>
    <w:rsid w:val="006A5D4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C09FA"/>
    <w:pPr>
      <w:ind w:left="720"/>
      <w:contextualSpacing/>
    </w:pPr>
  </w:style>
  <w:style w:type="table" w:styleId="TableGrid">
    <w:name w:val="Table Grid"/>
    <w:basedOn w:val="TableNormal"/>
    <w:uiPriority w:val="59"/>
    <w:rsid w:val="003A368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16B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F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272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272"/>
    <w:rPr>
      <w:b/>
      <w:bCs/>
      <w:sz w:val="20"/>
      <w:szCs w:val="20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F48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AA3F48"/>
    <w:rPr>
      <w:vertAlign w:val="superscript"/>
    </w:rPr>
  </w:style>
  <w:style w:type="paragraph" w:styleId="Revision">
    <w:name w:val="Revision"/>
    <w:hidden/>
    <w:uiPriority w:val="99"/>
    <w:semiHidden/>
    <w:rsid w:val="00503A73"/>
    <w:pPr>
      <w:spacing w:after="0" w:line="240" w:lineRule="auto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0FFC-19DB-483A-9A1A-49BBBE7BF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Dzhukelova</dc:creator>
  <cp:lastModifiedBy>Boyka Stoilova</cp:lastModifiedBy>
  <cp:revision>10</cp:revision>
  <dcterms:created xsi:type="dcterms:W3CDTF">2018-03-22T15:12:00Z</dcterms:created>
  <dcterms:modified xsi:type="dcterms:W3CDTF">2018-05-15T07:31:00Z</dcterms:modified>
</cp:coreProperties>
</file>